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E22E2">
      <w:pPr>
        <w:spacing w:line="720" w:lineRule="auto"/>
        <w:jc w:val="right"/>
        <w:rPr>
          <w:rFonts w:ascii="仿宋" w:hAnsi="仿宋" w:eastAsia="仿宋"/>
          <w:b/>
          <w:sz w:val="36"/>
          <w:szCs w:val="36"/>
          <w:highlight w:val="none"/>
        </w:rPr>
      </w:pPr>
      <w:r>
        <w:rPr>
          <w:rFonts w:ascii="仿宋" w:hAnsi="仿宋" w:eastAsia="仿宋"/>
          <w:sz w:val="28"/>
          <w:szCs w:val="28"/>
          <w:highlight w:val="none"/>
        </w:rPr>
        <w:drawing>
          <wp:inline distT="0" distB="0" distL="0" distR="0">
            <wp:extent cx="1832610" cy="754380"/>
            <wp:effectExtent l="0" t="0" r="0" b="7620"/>
            <wp:docPr id="6" name="图片 6" descr="C:\Users\Administrator\AppData\Roaming\LarkShell-ka-kacrc\sdk_storage\134efbfa194702f6a7746a0d8018acdc\resources\images\img_v3_02hs_ef0353ef-ece9-4df6-bfb3-c01d874034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LarkShell-ka-kacrc\sdk_storage\134efbfa194702f6a7746a0d8018acdc\resources\images\img_v3_02hs_ef0353ef-ece9-4df6-bfb3-c01d8740343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45390" cy="759941"/>
                    </a:xfrm>
                    <a:prstGeom prst="rect">
                      <a:avLst/>
                    </a:prstGeom>
                    <a:noFill/>
                    <a:ln>
                      <a:noFill/>
                    </a:ln>
                  </pic:spPr>
                </pic:pic>
              </a:graphicData>
            </a:graphic>
          </wp:inline>
        </w:drawing>
      </w:r>
    </w:p>
    <w:p w14:paraId="520BBB35">
      <w:pPr>
        <w:spacing w:line="720" w:lineRule="auto"/>
        <w:jc w:val="center"/>
        <w:rPr>
          <w:rFonts w:ascii="仿宋" w:hAnsi="仿宋" w:eastAsia="仿宋"/>
          <w:b/>
          <w:sz w:val="36"/>
          <w:szCs w:val="36"/>
          <w:highlight w:val="none"/>
        </w:rPr>
      </w:pPr>
    </w:p>
    <w:p w14:paraId="76DCDE16">
      <w:pPr>
        <w:spacing w:line="720" w:lineRule="auto"/>
        <w:jc w:val="center"/>
        <w:rPr>
          <w:rFonts w:ascii="仿宋" w:hAnsi="仿宋" w:eastAsia="仿宋"/>
          <w:b/>
          <w:sz w:val="36"/>
          <w:szCs w:val="36"/>
          <w:highlight w:val="none"/>
        </w:rPr>
      </w:pPr>
    </w:p>
    <w:p w14:paraId="788AAD74">
      <w:pPr>
        <w:spacing w:line="720" w:lineRule="auto"/>
        <w:jc w:val="center"/>
        <w:rPr>
          <w:rFonts w:ascii="仿宋" w:hAnsi="仿宋" w:eastAsia="仿宋"/>
          <w:b/>
          <w:sz w:val="52"/>
          <w:szCs w:val="52"/>
          <w:highlight w:val="none"/>
        </w:rPr>
      </w:pPr>
      <w:r>
        <w:rPr>
          <w:rFonts w:hint="eastAsia" w:ascii="仿宋" w:hAnsi="仿宋" w:eastAsia="仿宋"/>
          <w:b/>
          <w:sz w:val="52"/>
          <w:szCs w:val="52"/>
          <w:highlight w:val="none"/>
          <w:u w:val="single"/>
        </w:rPr>
        <w:t>阜阳华润燃气有限公司涉路安全咨询技术服务项目</w:t>
      </w:r>
    </w:p>
    <w:p w14:paraId="6E1482F3">
      <w:pPr>
        <w:spacing w:line="720" w:lineRule="auto"/>
        <w:jc w:val="center"/>
        <w:rPr>
          <w:rFonts w:ascii="仿宋" w:hAnsi="仿宋" w:eastAsia="仿宋"/>
          <w:b/>
          <w:sz w:val="36"/>
          <w:szCs w:val="36"/>
          <w:highlight w:val="none"/>
        </w:rPr>
      </w:pPr>
    </w:p>
    <w:p w14:paraId="28796EF9">
      <w:pPr>
        <w:spacing w:line="720" w:lineRule="auto"/>
        <w:jc w:val="center"/>
        <w:rPr>
          <w:rFonts w:ascii="仿宋" w:hAnsi="仿宋" w:eastAsia="仿宋"/>
          <w:b/>
          <w:sz w:val="52"/>
          <w:szCs w:val="52"/>
          <w:highlight w:val="none"/>
        </w:rPr>
      </w:pPr>
      <w:r>
        <w:rPr>
          <w:rFonts w:hint="eastAsia" w:ascii="仿宋" w:hAnsi="仿宋" w:eastAsia="仿宋"/>
          <w:b/>
          <w:sz w:val="52"/>
          <w:szCs w:val="52"/>
          <w:highlight w:val="none"/>
        </w:rPr>
        <w:t>询比采购文件</w:t>
      </w:r>
    </w:p>
    <w:p w14:paraId="44942FBC">
      <w:pPr>
        <w:spacing w:line="720" w:lineRule="auto"/>
        <w:jc w:val="center"/>
        <w:rPr>
          <w:rFonts w:ascii="仿宋" w:hAnsi="仿宋" w:eastAsia="仿宋"/>
          <w:b/>
          <w:sz w:val="36"/>
          <w:szCs w:val="36"/>
          <w:highlight w:val="none"/>
        </w:rPr>
      </w:pPr>
      <w:bookmarkStart w:id="25" w:name="_GoBack"/>
      <w:bookmarkEnd w:id="25"/>
    </w:p>
    <w:p w14:paraId="0E17A4C9">
      <w:pPr>
        <w:spacing w:line="720" w:lineRule="auto"/>
        <w:jc w:val="center"/>
        <w:rPr>
          <w:rFonts w:ascii="仿宋" w:hAnsi="仿宋" w:eastAsia="仿宋"/>
          <w:b/>
          <w:sz w:val="28"/>
          <w:szCs w:val="36"/>
          <w:highlight w:val="none"/>
        </w:rPr>
      </w:pPr>
    </w:p>
    <w:p w14:paraId="7455E347">
      <w:pPr>
        <w:spacing w:line="720" w:lineRule="auto"/>
        <w:jc w:val="center"/>
        <w:rPr>
          <w:rFonts w:ascii="仿宋" w:hAnsi="仿宋" w:eastAsia="仿宋"/>
          <w:b/>
          <w:sz w:val="28"/>
          <w:szCs w:val="36"/>
          <w:highlight w:val="none"/>
        </w:rPr>
      </w:pPr>
    </w:p>
    <w:p w14:paraId="738DA54D">
      <w:pPr>
        <w:spacing w:line="720" w:lineRule="auto"/>
        <w:jc w:val="center"/>
        <w:rPr>
          <w:rFonts w:ascii="仿宋" w:hAnsi="仿宋" w:eastAsia="仿宋"/>
          <w:b/>
          <w:sz w:val="28"/>
          <w:szCs w:val="36"/>
          <w:highlight w:val="none"/>
        </w:rPr>
      </w:pPr>
    </w:p>
    <w:p w14:paraId="36FA805C">
      <w:pPr>
        <w:spacing w:line="480" w:lineRule="auto"/>
        <w:jc w:val="center"/>
        <w:rPr>
          <w:rFonts w:ascii="仿宋" w:hAnsi="仿宋" w:eastAsia="仿宋"/>
          <w:b/>
          <w:sz w:val="28"/>
          <w:szCs w:val="36"/>
          <w:highlight w:val="none"/>
        </w:rPr>
      </w:pPr>
      <w:r>
        <w:rPr>
          <w:rFonts w:hint="eastAsia" w:ascii="仿宋" w:hAnsi="仿宋" w:eastAsia="仿宋"/>
          <w:b/>
          <w:sz w:val="28"/>
          <w:szCs w:val="36"/>
          <w:highlight w:val="none"/>
        </w:rPr>
        <w:t>采购人：</w:t>
      </w:r>
      <w:r>
        <w:rPr>
          <w:rFonts w:hint="eastAsia" w:ascii="仿宋" w:hAnsi="仿宋" w:eastAsia="仿宋"/>
          <w:b/>
          <w:sz w:val="28"/>
          <w:szCs w:val="36"/>
          <w:highlight w:val="none"/>
          <w:lang w:val="en-US" w:eastAsia="zh-CN"/>
        </w:rPr>
        <w:t>阜阳</w:t>
      </w:r>
      <w:r>
        <w:rPr>
          <w:rFonts w:hint="eastAsia" w:ascii="仿宋" w:hAnsi="仿宋" w:eastAsia="仿宋"/>
          <w:b/>
          <w:sz w:val="28"/>
          <w:szCs w:val="36"/>
          <w:highlight w:val="none"/>
        </w:rPr>
        <w:t>华润燃气有限公司</w:t>
      </w:r>
    </w:p>
    <w:p w14:paraId="29AF750C">
      <w:pPr>
        <w:jc w:val="center"/>
        <w:rPr>
          <w:rFonts w:ascii="仿宋" w:hAnsi="仿宋" w:eastAsia="仿宋"/>
          <w:b/>
          <w:sz w:val="28"/>
          <w:szCs w:val="36"/>
          <w:highlight w:val="none"/>
          <w:u w:val="single"/>
        </w:rPr>
      </w:pPr>
      <w:r>
        <w:rPr>
          <w:rFonts w:hint="eastAsia" w:ascii="仿宋" w:hAnsi="仿宋" w:eastAsia="仿宋"/>
          <w:b/>
          <w:sz w:val="28"/>
          <w:szCs w:val="36"/>
          <w:highlight w:val="none"/>
        </w:rPr>
        <w:t>日期：</w:t>
      </w:r>
      <w:r>
        <w:rPr>
          <w:rFonts w:hint="eastAsia" w:ascii="仿宋" w:hAnsi="仿宋" w:eastAsia="仿宋"/>
          <w:b/>
          <w:sz w:val="28"/>
          <w:szCs w:val="36"/>
          <w:highlight w:val="none"/>
          <w:u w:val="single"/>
        </w:rPr>
        <w:t>20</w:t>
      </w:r>
      <w:r>
        <w:rPr>
          <w:rFonts w:hint="eastAsia" w:ascii="仿宋" w:hAnsi="仿宋" w:eastAsia="仿宋"/>
          <w:b/>
          <w:sz w:val="28"/>
          <w:szCs w:val="36"/>
          <w:highlight w:val="none"/>
          <w:u w:val="single"/>
          <w:lang w:val="en-US" w:eastAsia="zh-CN"/>
        </w:rPr>
        <w:t>25</w:t>
      </w:r>
      <w:r>
        <w:rPr>
          <w:rFonts w:hint="eastAsia" w:ascii="仿宋" w:hAnsi="仿宋" w:eastAsia="仿宋"/>
          <w:b/>
          <w:sz w:val="28"/>
          <w:szCs w:val="36"/>
          <w:highlight w:val="none"/>
          <w:u w:val="single"/>
        </w:rPr>
        <w:t>年</w:t>
      </w:r>
      <w:r>
        <w:rPr>
          <w:rFonts w:hint="eastAsia" w:ascii="仿宋" w:hAnsi="仿宋" w:eastAsia="仿宋"/>
          <w:b/>
          <w:sz w:val="28"/>
          <w:szCs w:val="36"/>
          <w:highlight w:val="none"/>
          <w:u w:val="single"/>
          <w:lang w:val="en-US" w:eastAsia="zh-CN"/>
        </w:rPr>
        <w:t>9</w:t>
      </w:r>
      <w:r>
        <w:rPr>
          <w:rFonts w:hint="eastAsia" w:ascii="仿宋" w:hAnsi="仿宋" w:eastAsia="仿宋"/>
          <w:b/>
          <w:sz w:val="28"/>
          <w:szCs w:val="36"/>
          <w:highlight w:val="none"/>
          <w:u w:val="single"/>
        </w:rPr>
        <w:t>月</w:t>
      </w:r>
      <w:r>
        <w:rPr>
          <w:rFonts w:hint="eastAsia" w:ascii="仿宋" w:hAnsi="仿宋" w:eastAsia="仿宋"/>
          <w:b/>
          <w:sz w:val="28"/>
          <w:szCs w:val="36"/>
          <w:highlight w:val="none"/>
          <w:u w:val="single"/>
          <w:lang w:val="en-US" w:eastAsia="zh-CN"/>
        </w:rPr>
        <w:t>30</w:t>
      </w:r>
      <w:r>
        <w:rPr>
          <w:rFonts w:hint="eastAsia" w:ascii="仿宋" w:hAnsi="仿宋" w:eastAsia="仿宋"/>
          <w:b/>
          <w:sz w:val="28"/>
          <w:szCs w:val="36"/>
          <w:highlight w:val="none"/>
          <w:u w:val="single"/>
        </w:rPr>
        <w:t>日</w:t>
      </w:r>
    </w:p>
    <w:p w14:paraId="402F8FAD">
      <w:pPr>
        <w:widowControl/>
        <w:jc w:val="left"/>
        <w:rPr>
          <w:highlight w:val="none"/>
        </w:rPr>
      </w:pPr>
      <w:r>
        <w:rPr>
          <w:highlight w:val="none"/>
        </w:rPr>
        <w:br w:type="page"/>
      </w:r>
    </w:p>
    <w:p w14:paraId="1CBFEB9A">
      <w:pPr>
        <w:autoSpaceDE w:val="0"/>
        <w:autoSpaceDN w:val="0"/>
        <w:adjustRightInd w:val="0"/>
        <w:jc w:val="center"/>
        <w:rPr>
          <w:rFonts w:ascii="仿宋" w:hAnsi="仿宋" w:eastAsia="仿宋" w:cs="华文中宋"/>
          <w:b/>
          <w:kern w:val="0"/>
          <w:sz w:val="32"/>
          <w:szCs w:val="32"/>
          <w:highlight w:val="none"/>
        </w:rPr>
      </w:pPr>
      <w:r>
        <w:rPr>
          <w:rFonts w:hint="eastAsia" w:ascii="仿宋" w:hAnsi="仿宋" w:eastAsia="仿宋" w:cs="华文中宋"/>
          <w:b/>
          <w:kern w:val="0"/>
          <w:sz w:val="32"/>
          <w:szCs w:val="32"/>
          <w:highlight w:val="none"/>
        </w:rPr>
        <w:t>廉洁从业准则</w:t>
      </w:r>
    </w:p>
    <w:p w14:paraId="2412A78F">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第一条</w:t>
      </w:r>
      <w:r>
        <w:rPr>
          <w:rFonts w:ascii="仿宋" w:hAnsi="仿宋" w:eastAsia="仿宋" w:cs="仿宋_GB2312"/>
          <w:kern w:val="0"/>
          <w:sz w:val="24"/>
          <w:highlight w:val="none"/>
        </w:rPr>
        <w:t xml:space="preserve"> 公司的招标采购活动应当依照《招标投标法》《招标投标法实施条例》</w:t>
      </w:r>
      <w:r>
        <w:rPr>
          <w:rFonts w:hint="eastAsia" w:ascii="仿宋" w:hAnsi="仿宋" w:eastAsia="仿宋" w:cs="仿宋_GB2312"/>
          <w:kern w:val="0"/>
          <w:sz w:val="24"/>
          <w:highlight w:val="none"/>
        </w:rPr>
        <w:t>以及华润集团、本制度的相关规定接受监督。</w:t>
      </w:r>
    </w:p>
    <w:p w14:paraId="0F464535">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第二条</w:t>
      </w:r>
      <w:r>
        <w:rPr>
          <w:rFonts w:ascii="仿宋" w:hAnsi="仿宋" w:eastAsia="仿宋" w:cs="仿宋_GB2312"/>
          <w:kern w:val="0"/>
          <w:sz w:val="24"/>
          <w:highlight w:val="none"/>
        </w:rPr>
        <w:t xml:space="preserve"> 维护公平竞争，禁止下列行为：</w:t>
      </w:r>
    </w:p>
    <w:p w14:paraId="22D4199D">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（一）违法或者以不合理条件限制或者排斥本地区、本系统以外的法人或者其他组织参加投标；</w:t>
      </w:r>
    </w:p>
    <w:p w14:paraId="363F05CE">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（二）对潜在投标人实行歧视待遇；</w:t>
      </w:r>
    </w:p>
    <w:p w14:paraId="39DF4B67">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（三）接受应当拒收的投标文件；</w:t>
      </w:r>
    </w:p>
    <w:p w14:paraId="6C6CCFB8">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（四）收受投标人的好处费、回扣、现金及有价证券、支付凭证、贵重礼品等；</w:t>
      </w:r>
    </w:p>
    <w:p w14:paraId="5E422CE6">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（五）接受投标人的宴请、娱乐、体育、休闲、旅游活动；</w:t>
      </w:r>
    </w:p>
    <w:p w14:paraId="45617855">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（六）在投标人报销任何费用；</w:t>
      </w:r>
    </w:p>
    <w:p w14:paraId="5ABC3205">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（七）接收投标人任何名义的住房、交通工具、通讯工具、家电、高档办公用品等物品；</w:t>
      </w:r>
    </w:p>
    <w:p w14:paraId="7D3A0DF1">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（八）接收投标人的家庭装修、婚丧嫁娶、工作安排、出国、留学等资金或物资资助；</w:t>
      </w:r>
    </w:p>
    <w:p w14:paraId="64E6CE26">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（九）其他限制正当竞争的行为。</w:t>
      </w:r>
    </w:p>
    <w:p w14:paraId="468BB65E">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第三条</w:t>
      </w:r>
      <w:r>
        <w:rPr>
          <w:rFonts w:ascii="仿宋" w:hAnsi="仿宋" w:eastAsia="仿宋" w:cs="仿宋_GB2312"/>
          <w:kern w:val="0"/>
          <w:sz w:val="24"/>
          <w:highlight w:val="none"/>
        </w:rPr>
        <w:t xml:space="preserve"> 履行保密义务，禁止下列行为：</w:t>
      </w:r>
    </w:p>
    <w:p w14:paraId="5BB188EA">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（一）向投标人泄露评标委员会成员名单；</w:t>
      </w:r>
    </w:p>
    <w:p w14:paraId="0171BAC0">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（二）向投标人透漏投标文件的评审情况、中标候选人的推荐意见以及与确定中标人等其他情况；</w:t>
      </w:r>
    </w:p>
    <w:p w14:paraId="03C07484">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（三）其他违反保密规定的行为。</w:t>
      </w:r>
    </w:p>
    <w:p w14:paraId="0B23623B">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第四条</w:t>
      </w:r>
      <w:r>
        <w:rPr>
          <w:rFonts w:ascii="仿宋" w:hAnsi="仿宋" w:eastAsia="仿宋" w:cs="仿宋_GB2312"/>
          <w:kern w:val="0"/>
          <w:sz w:val="24"/>
          <w:highlight w:val="none"/>
        </w:rPr>
        <w:t xml:space="preserve"> 遵守回避制度，禁止下列行为:</w:t>
      </w:r>
    </w:p>
    <w:p w14:paraId="3B8207A5">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（一）为个人及亲属谋求私利，明知本人亲属或者其他利害关系人直接或间接参与本项目的投标，不主动回避的；</w:t>
      </w:r>
    </w:p>
    <w:p w14:paraId="0CA1CDB9">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（二）招标采购工作人员如有亲属在响应供应商工作的，应在该项招标采购活动中予以回避；</w:t>
      </w:r>
    </w:p>
    <w:p w14:paraId="5EEC04AE">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（三）其他违反回避制度规定的行为。</w:t>
      </w:r>
    </w:p>
    <w:p w14:paraId="6C6759C0">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第五条</w:t>
      </w:r>
      <w:r>
        <w:rPr>
          <w:rFonts w:ascii="仿宋" w:hAnsi="仿宋" w:eastAsia="仿宋" w:cs="仿宋_GB2312"/>
          <w:kern w:val="0"/>
          <w:sz w:val="24"/>
          <w:highlight w:val="none"/>
        </w:rPr>
        <w:t xml:space="preserve"> 执行招标结果，禁止下列行为：</w:t>
      </w:r>
    </w:p>
    <w:p w14:paraId="308C906E">
      <w:pPr>
        <w:spacing w:line="360" w:lineRule="auto"/>
        <w:ind w:firstLine="480" w:firstLineChars="200"/>
        <w:rPr>
          <w:rFonts w:ascii="仿宋" w:hAnsi="仿宋" w:eastAsia="仿宋" w:cs="仿宋_GB2312"/>
          <w:kern w:val="0"/>
          <w:sz w:val="24"/>
          <w:highlight w:val="none"/>
        </w:rPr>
      </w:pPr>
      <w:r>
        <w:rPr>
          <w:rFonts w:ascii="仿宋" w:hAnsi="仿宋" w:eastAsia="仿宋" w:cs="仿宋_GB2312"/>
          <w:kern w:val="0"/>
          <w:sz w:val="24"/>
          <w:highlight w:val="none"/>
        </w:rPr>
        <w:t>（一）无正当理由不发出中标通知书；</w:t>
      </w:r>
    </w:p>
    <w:p w14:paraId="22F092E2">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（二）不按照法律法规和招标文件规定确定中标人；</w:t>
      </w:r>
    </w:p>
    <w:p w14:paraId="40A76778">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（三）中标通知书发出后无正当理由改变中标结果；</w:t>
      </w:r>
    </w:p>
    <w:p w14:paraId="2040682F">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（四）无正当理由不与中标人订立合同；</w:t>
      </w:r>
    </w:p>
    <w:p w14:paraId="2BEC795E">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（五）在订立合同时背离招标投标确定的合同实质性内容或者向中标人提出附加条件；</w:t>
      </w:r>
    </w:p>
    <w:p w14:paraId="25F7B6CD">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（六）不完整或者采取其他变通手段变相不执行招标中标结果。</w:t>
      </w:r>
    </w:p>
    <w:p w14:paraId="70455402">
      <w:pPr>
        <w:spacing w:line="360" w:lineRule="auto"/>
        <w:ind w:firstLine="480" w:firstLineChars="200"/>
        <w:rPr>
          <w:rFonts w:ascii="仿宋" w:hAnsi="仿宋" w:eastAsia="仿宋" w:cs="仿宋_GB2312"/>
          <w:kern w:val="0"/>
          <w:sz w:val="24"/>
          <w:highlight w:val="none"/>
        </w:rPr>
      </w:pPr>
      <w:r>
        <w:rPr>
          <w:rFonts w:hint="eastAsia" w:ascii="仿宋" w:hAnsi="仿宋" w:eastAsia="仿宋" w:cs="仿宋_GB2312"/>
          <w:kern w:val="0"/>
          <w:sz w:val="24"/>
          <w:highlight w:val="none"/>
        </w:rPr>
        <w:t>第六条</w:t>
      </w:r>
      <w:r>
        <w:rPr>
          <w:rFonts w:ascii="仿宋" w:hAnsi="仿宋" w:eastAsia="仿宋" w:cs="仿宋_GB2312"/>
          <w:kern w:val="0"/>
          <w:sz w:val="24"/>
          <w:highlight w:val="none"/>
        </w:rPr>
        <w:t xml:space="preserve"> 对违反本制度规定的公司员工，由公司责任追究部门进行责任追究，</w:t>
      </w:r>
      <w:r>
        <w:rPr>
          <w:rFonts w:hint="eastAsia" w:ascii="仿宋" w:hAnsi="仿宋" w:eastAsia="仿宋" w:cs="仿宋_GB2312"/>
          <w:kern w:val="0"/>
          <w:sz w:val="24"/>
          <w:highlight w:val="none"/>
        </w:rPr>
        <w:t>或者由公司纪检监察部门负责追究相关的责任；触犯党纪的，按照党的纪律处分条例处理；涉嫌犯罪的，交由司法机关依法追究其刑事责任。</w:t>
      </w:r>
    </w:p>
    <w:p w14:paraId="3F46B61B">
      <w:pPr>
        <w:widowControl/>
        <w:jc w:val="left"/>
        <w:rPr>
          <w:highlight w:val="none"/>
        </w:rPr>
      </w:pPr>
      <w:r>
        <w:rPr>
          <w:highlight w:val="none"/>
        </w:rPr>
        <w:br w:type="page"/>
      </w:r>
    </w:p>
    <w:p w14:paraId="0B72FB8A">
      <w:pPr>
        <w:pStyle w:val="2"/>
        <w:tabs>
          <w:tab w:val="left" w:pos="3686"/>
        </w:tabs>
        <w:adjustRightInd w:val="0"/>
        <w:snapToGrid w:val="0"/>
        <w:spacing w:before="0" w:after="0" w:line="360" w:lineRule="auto"/>
        <w:jc w:val="center"/>
        <w:rPr>
          <w:rFonts w:eastAsia="仿宋"/>
          <w:sz w:val="28"/>
          <w:highlight w:val="none"/>
        </w:rPr>
      </w:pPr>
      <w:r>
        <w:rPr>
          <w:rFonts w:hint="eastAsia" w:eastAsia="仿宋"/>
          <w:sz w:val="28"/>
          <w:highlight w:val="none"/>
        </w:rPr>
        <w:t>第一卷 响应供应商须知</w:t>
      </w:r>
    </w:p>
    <w:p w14:paraId="5AFDC1A4">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阜阳华润燃气有限公司涉路安全咨询技术服务项目</w:t>
      </w:r>
      <w:r>
        <w:rPr>
          <w:rFonts w:hint="eastAsia" w:ascii="仿宋" w:hAnsi="仿宋" w:eastAsia="仿宋"/>
          <w:sz w:val="24"/>
          <w:highlight w:val="none"/>
        </w:rPr>
        <w:t>已具备采购条件，现组织开展本次采购活动</w:t>
      </w:r>
      <w:bookmarkStart w:id="0" w:name="_Hlk122297139"/>
      <w:r>
        <w:rPr>
          <w:rFonts w:hint="eastAsia" w:ascii="仿宋" w:hAnsi="仿宋" w:eastAsia="仿宋"/>
          <w:sz w:val="24"/>
          <w:highlight w:val="none"/>
        </w:rPr>
        <w:t>，具体需求见采购需求及报价一览表，请贵单位在响应文件提交截止时间前及时在守正平台上传响应文件。</w:t>
      </w:r>
    </w:p>
    <w:p w14:paraId="5EDCBBA9">
      <w:pPr>
        <w:pStyle w:val="3"/>
        <w:numPr>
          <w:ilvl w:val="0"/>
          <w:numId w:val="1"/>
        </w:numPr>
        <w:adjustRightInd w:val="0"/>
        <w:snapToGrid w:val="0"/>
        <w:spacing w:before="120" w:after="120" w:line="360" w:lineRule="auto"/>
        <w:ind w:left="0" w:firstLine="0"/>
        <w:jc w:val="left"/>
        <w:rPr>
          <w:rFonts w:eastAsia="仿宋"/>
          <w:sz w:val="24"/>
          <w:highlight w:val="none"/>
        </w:rPr>
      </w:pPr>
      <w:r>
        <w:rPr>
          <w:rFonts w:hint="eastAsia" w:eastAsia="仿宋"/>
          <w:sz w:val="24"/>
          <w:highlight w:val="none"/>
        </w:rPr>
        <w:t>采购需求</w:t>
      </w:r>
    </w:p>
    <w:p w14:paraId="688B5BAA">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我公司实施市政中压燃气配套工程建设，管径DN</w:t>
      </w:r>
      <w:r>
        <w:rPr>
          <w:rFonts w:hint="eastAsia" w:ascii="仿宋" w:hAnsi="仿宋" w:eastAsia="仿宋"/>
          <w:sz w:val="24"/>
          <w:highlight w:val="none"/>
          <w:lang w:val="en-US" w:eastAsia="zh-CN"/>
        </w:rPr>
        <w:t>315</w:t>
      </w:r>
      <w:r>
        <w:rPr>
          <w:rFonts w:hint="eastAsia" w:ascii="仿宋" w:hAnsi="仿宋" w:eastAsia="仿宋"/>
          <w:sz w:val="24"/>
          <w:highlight w:val="none"/>
        </w:rPr>
        <w:t>,长度约为</w:t>
      </w:r>
      <w:r>
        <w:rPr>
          <w:rFonts w:hint="eastAsia" w:ascii="仿宋" w:hAnsi="仿宋" w:eastAsia="仿宋"/>
          <w:sz w:val="24"/>
          <w:highlight w:val="none"/>
          <w:lang w:val="en-US" w:eastAsia="zh-CN"/>
        </w:rPr>
        <w:t>3.5</w:t>
      </w:r>
      <w:r>
        <w:rPr>
          <w:rFonts w:hint="eastAsia" w:ascii="仿宋" w:hAnsi="仿宋" w:eastAsia="仿宋"/>
          <w:sz w:val="24"/>
          <w:highlight w:val="none"/>
        </w:rPr>
        <w:t>公里，规划管位沿</w:t>
      </w:r>
      <w:r>
        <w:rPr>
          <w:rFonts w:hint="eastAsia" w:ascii="仿宋" w:hAnsi="仿宋" w:eastAsia="仿宋"/>
          <w:sz w:val="24"/>
          <w:highlight w:val="none"/>
          <w:lang w:val="en-US" w:eastAsia="zh-CN"/>
        </w:rPr>
        <w:t>S252省</w:t>
      </w:r>
      <w:r>
        <w:rPr>
          <w:rFonts w:hint="eastAsia" w:ascii="仿宋" w:hAnsi="仿宋" w:eastAsia="仿宋"/>
          <w:sz w:val="24"/>
          <w:highlight w:val="none"/>
        </w:rPr>
        <w:t>道</w:t>
      </w:r>
      <w:r>
        <w:rPr>
          <w:rFonts w:hint="eastAsia" w:ascii="仿宋" w:hAnsi="仿宋" w:eastAsia="仿宋"/>
          <w:sz w:val="24"/>
          <w:highlight w:val="none"/>
          <w:lang w:val="en-US" w:eastAsia="zh-CN"/>
        </w:rPr>
        <w:t>并行</w:t>
      </w:r>
      <w:r>
        <w:rPr>
          <w:rFonts w:hint="eastAsia" w:ascii="仿宋" w:hAnsi="仿宋" w:eastAsia="仿宋"/>
          <w:sz w:val="24"/>
          <w:highlight w:val="none"/>
        </w:rPr>
        <w:t>敷设，采用定向钻</w:t>
      </w:r>
      <w:r>
        <w:rPr>
          <w:rFonts w:hint="eastAsia" w:ascii="仿宋" w:hAnsi="仿宋" w:eastAsia="仿宋"/>
          <w:sz w:val="24"/>
          <w:highlight w:val="none"/>
          <w:lang w:val="en-US" w:eastAsia="zh-CN"/>
        </w:rPr>
        <w:t>与机械开挖</w:t>
      </w:r>
      <w:r>
        <w:rPr>
          <w:rFonts w:hint="eastAsia" w:ascii="仿宋" w:hAnsi="仿宋" w:eastAsia="仿宋"/>
          <w:sz w:val="24"/>
          <w:highlight w:val="none"/>
        </w:rPr>
        <w:t>施工，根据主管部门要求，需为燃气管道工程办理涉路施工影响安全评价。</w:t>
      </w:r>
    </w:p>
    <w:p w14:paraId="695EF373">
      <w:pPr>
        <w:pStyle w:val="3"/>
        <w:numPr>
          <w:ilvl w:val="0"/>
          <w:numId w:val="1"/>
        </w:numPr>
        <w:adjustRightInd w:val="0"/>
        <w:snapToGrid w:val="0"/>
        <w:spacing w:before="120" w:after="120" w:line="360" w:lineRule="auto"/>
        <w:ind w:left="0" w:firstLine="0"/>
        <w:jc w:val="left"/>
        <w:rPr>
          <w:rFonts w:hint="eastAsia" w:eastAsia="仿宋"/>
          <w:sz w:val="24"/>
          <w:highlight w:val="none"/>
        </w:rPr>
      </w:pPr>
      <w:bookmarkStart w:id="1" w:name="OLE_LINK20"/>
      <w:bookmarkStart w:id="2" w:name="OLE_LINK19"/>
      <w:r>
        <w:rPr>
          <w:rFonts w:hint="eastAsia" w:eastAsia="仿宋"/>
          <w:sz w:val="24"/>
          <w:highlight w:val="none"/>
        </w:rPr>
        <w:t>成交人数量与成交结果适用范围</w:t>
      </w:r>
    </w:p>
    <w:p w14:paraId="6B42ADBD">
      <w:pPr>
        <w:pStyle w:val="15"/>
        <w:numPr>
          <w:ilvl w:val="3"/>
          <w:numId w:val="2"/>
        </w:numPr>
        <w:adjustRightInd w:val="0"/>
        <w:snapToGrid w:val="0"/>
        <w:spacing w:line="360" w:lineRule="auto"/>
        <w:ind w:left="0" w:firstLine="480"/>
        <w:rPr>
          <w:rFonts w:ascii="仿宋" w:hAnsi="仿宋" w:eastAsia="仿宋"/>
          <w:sz w:val="24"/>
          <w:highlight w:val="none"/>
        </w:rPr>
      </w:pPr>
      <w:r>
        <w:rPr>
          <w:rFonts w:hint="eastAsia" w:ascii="仿宋" w:hAnsi="仿宋" w:eastAsia="仿宋"/>
          <w:sz w:val="24"/>
          <w:highlight w:val="none"/>
        </w:rPr>
        <w:t>本项目选取</w:t>
      </w:r>
      <w:r>
        <w:rPr>
          <w:rFonts w:ascii="仿宋" w:hAnsi="仿宋" w:eastAsia="仿宋"/>
          <w:sz w:val="24"/>
          <w:highlight w:val="none"/>
        </w:rPr>
        <w:t>1</w:t>
      </w:r>
      <w:r>
        <w:rPr>
          <w:rFonts w:hint="eastAsia" w:ascii="仿宋" w:hAnsi="仿宋" w:eastAsia="仿宋"/>
          <w:sz w:val="24"/>
          <w:highlight w:val="none"/>
        </w:rPr>
        <w:t>名</w:t>
      </w:r>
      <w:r>
        <w:rPr>
          <w:rFonts w:hint="eastAsia" w:ascii="仿宋" w:hAnsi="仿宋" w:eastAsia="仿宋"/>
          <w:sz w:val="24"/>
          <w:highlight w:val="none"/>
        </w:rPr>
        <w:t>成交人</w:t>
      </w:r>
    </w:p>
    <w:p w14:paraId="46713D8B">
      <w:pPr>
        <w:pStyle w:val="15"/>
        <w:numPr>
          <w:ilvl w:val="3"/>
          <w:numId w:val="2"/>
        </w:numPr>
        <w:adjustRightInd w:val="0"/>
        <w:snapToGrid w:val="0"/>
        <w:spacing w:line="360" w:lineRule="auto"/>
        <w:ind w:left="0" w:firstLine="480"/>
        <w:rPr>
          <w:rFonts w:ascii="仿宋" w:hAnsi="仿宋" w:eastAsia="仿宋"/>
          <w:sz w:val="24"/>
          <w:highlight w:val="none"/>
        </w:rPr>
      </w:pPr>
      <w:r>
        <w:rPr>
          <w:rFonts w:hint="eastAsia" w:ascii="仿宋" w:hAnsi="仿宋" w:eastAsia="仿宋"/>
          <w:sz w:val="24"/>
          <w:highlight w:val="none"/>
        </w:rPr>
        <w:t>成交人需按照采购文件要求为采购人</w:t>
      </w:r>
      <w:r>
        <w:rPr>
          <w:rFonts w:hint="eastAsia" w:ascii="仿宋" w:hAnsi="仿宋" w:eastAsia="仿宋"/>
          <w:sz w:val="24"/>
          <w:highlight w:val="none"/>
        </w:rPr>
        <w:t>及</w:t>
      </w:r>
      <w:r>
        <w:rPr>
          <w:rFonts w:hint="eastAsia" w:ascii="仿宋" w:hAnsi="仿宋" w:eastAsia="仿宋"/>
          <w:sz w:val="24"/>
          <w:highlight w:val="none"/>
        </w:rPr>
        <w:t>提供服务，由</w:t>
      </w:r>
      <w:r>
        <w:rPr>
          <w:rFonts w:hint="eastAsia" w:ascii="仿宋" w:hAnsi="仿宋" w:eastAsia="仿宋"/>
          <w:sz w:val="24"/>
          <w:highlight w:val="none"/>
        </w:rPr>
        <w:t>公司法人主体</w:t>
      </w:r>
      <w:r>
        <w:rPr>
          <w:rFonts w:hint="eastAsia" w:ascii="仿宋" w:hAnsi="仿宋" w:eastAsia="仿宋"/>
          <w:sz w:val="24"/>
          <w:highlight w:val="none"/>
        </w:rPr>
        <w:t>进行合同签订。</w:t>
      </w:r>
      <w:bookmarkEnd w:id="1"/>
      <w:bookmarkEnd w:id="2"/>
    </w:p>
    <w:p w14:paraId="3B34888F">
      <w:pPr>
        <w:pStyle w:val="3"/>
        <w:numPr>
          <w:ilvl w:val="0"/>
          <w:numId w:val="1"/>
        </w:numPr>
        <w:adjustRightInd w:val="0"/>
        <w:snapToGrid w:val="0"/>
        <w:spacing w:before="120" w:after="120" w:line="360" w:lineRule="auto"/>
        <w:ind w:left="0" w:firstLine="0"/>
        <w:jc w:val="left"/>
        <w:rPr>
          <w:rFonts w:eastAsia="仿宋"/>
          <w:sz w:val="24"/>
          <w:highlight w:val="none"/>
        </w:rPr>
      </w:pPr>
      <w:bookmarkStart w:id="3" w:name="OLE_LINK45"/>
      <w:bookmarkStart w:id="4" w:name="OLE_LINK44"/>
      <w:r>
        <w:rPr>
          <w:rFonts w:hint="eastAsia" w:eastAsia="仿宋"/>
          <w:sz w:val="24"/>
          <w:highlight w:val="none"/>
        </w:rPr>
        <w:t>联系方式与响应文件提交截止时间</w:t>
      </w:r>
    </w:p>
    <w:p w14:paraId="47A7450E">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采购人：</w:t>
      </w:r>
      <w:r>
        <w:rPr>
          <w:rFonts w:hint="eastAsia" w:ascii="仿宋" w:hAnsi="仿宋" w:eastAsia="仿宋"/>
          <w:sz w:val="24"/>
          <w:highlight w:val="none"/>
        </w:rPr>
        <w:t>阜阳</w:t>
      </w:r>
      <w:r>
        <w:rPr>
          <w:rFonts w:hint="eastAsia" w:ascii="仿宋" w:hAnsi="仿宋" w:eastAsia="仿宋"/>
          <w:sz w:val="24"/>
          <w:highlight w:val="none"/>
        </w:rPr>
        <w:t>华润燃气有限公司</w:t>
      </w:r>
    </w:p>
    <w:p w14:paraId="1242FA76">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地址：</w:t>
      </w:r>
      <w:r>
        <w:rPr>
          <w:rFonts w:hint="eastAsia" w:ascii="仿宋" w:hAnsi="仿宋" w:eastAsia="仿宋"/>
          <w:sz w:val="24"/>
          <w:highlight w:val="none"/>
        </w:rPr>
        <w:t>安徽省阜阳市颍州区阜阳合肥现代产业园区翡翠湖路17号</w:t>
      </w:r>
    </w:p>
    <w:p w14:paraId="06FBE50E">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若各供应商有疑问请与以下人员联系：</w:t>
      </w:r>
    </w:p>
    <w:p w14:paraId="00726142">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采购经办人：</w:t>
      </w:r>
      <w:r>
        <w:rPr>
          <w:rFonts w:hint="eastAsia" w:ascii="仿宋" w:hAnsi="仿宋" w:eastAsia="仿宋"/>
          <w:sz w:val="24"/>
          <w:highlight w:val="none"/>
        </w:rPr>
        <w:t>陈佳伟</w:t>
      </w:r>
      <w:r>
        <w:rPr>
          <w:rFonts w:hint="eastAsia" w:ascii="仿宋" w:hAnsi="仿宋" w:eastAsia="仿宋"/>
          <w:sz w:val="24"/>
          <w:highlight w:val="none"/>
        </w:rPr>
        <w:t xml:space="preserve">    联系方式</w:t>
      </w:r>
      <w:r>
        <w:rPr>
          <w:rFonts w:hint="eastAsia" w:ascii="仿宋" w:hAnsi="仿宋" w:eastAsia="仿宋"/>
          <w:sz w:val="24"/>
          <w:highlight w:val="none"/>
        </w:rPr>
        <w:t>：0558-2669995</w:t>
      </w:r>
    </w:p>
    <w:p w14:paraId="7455041F">
      <w:pPr>
        <w:spacing w:line="360" w:lineRule="auto"/>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rPr>
        <w:t>响应文件提交截止时间：</w:t>
      </w:r>
      <w:r>
        <w:rPr>
          <w:rFonts w:hint="eastAsia" w:ascii="仿宋" w:hAnsi="仿宋" w:eastAsia="仿宋"/>
          <w:sz w:val="24"/>
          <w:highlight w:val="none"/>
          <w:lang w:val="en-US" w:eastAsia="zh-CN"/>
        </w:rPr>
        <w:t>2025年10月11日</w:t>
      </w:r>
    </w:p>
    <w:p w14:paraId="0FE5DC29">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响应文件提交地址：</w:t>
      </w:r>
      <w:r>
        <w:rPr>
          <w:rFonts w:hint="eastAsia" w:ascii="仿宋" w:hAnsi="仿宋" w:eastAsia="仿宋"/>
          <w:sz w:val="24"/>
          <w:highlight w:val="none"/>
        </w:rPr>
        <w:t>安徽省阜阳市颍州区阜阳合肥现代产业园区翡翠湖路17号</w:t>
      </w:r>
    </w:p>
    <w:bookmarkEnd w:id="3"/>
    <w:bookmarkEnd w:id="4"/>
    <w:p w14:paraId="5D4AE08B">
      <w:pPr>
        <w:pStyle w:val="3"/>
        <w:numPr>
          <w:ilvl w:val="0"/>
          <w:numId w:val="1"/>
        </w:numPr>
        <w:adjustRightInd w:val="0"/>
        <w:snapToGrid w:val="0"/>
        <w:spacing w:before="120" w:after="120" w:line="360" w:lineRule="auto"/>
        <w:ind w:left="0" w:firstLine="0"/>
        <w:jc w:val="left"/>
        <w:rPr>
          <w:rFonts w:eastAsia="仿宋"/>
          <w:sz w:val="24"/>
          <w:highlight w:val="none"/>
        </w:rPr>
      </w:pPr>
      <w:r>
        <w:rPr>
          <w:rFonts w:hint="eastAsia" w:eastAsia="仿宋"/>
          <w:sz w:val="24"/>
          <w:highlight w:val="none"/>
        </w:rPr>
        <w:t>评审办法</w:t>
      </w:r>
    </w:p>
    <w:p w14:paraId="030F0D37">
      <w:pPr>
        <w:pStyle w:val="15"/>
        <w:numPr>
          <w:ilvl w:val="0"/>
          <w:numId w:val="3"/>
        </w:numPr>
        <w:adjustRightInd w:val="0"/>
        <w:snapToGrid w:val="0"/>
        <w:spacing w:line="360" w:lineRule="auto"/>
        <w:ind w:left="0" w:firstLine="480"/>
        <w:rPr>
          <w:rFonts w:ascii="仿宋" w:hAnsi="仿宋" w:eastAsia="仿宋"/>
          <w:sz w:val="24"/>
          <w:highlight w:val="none"/>
        </w:rPr>
      </w:pPr>
      <w:r>
        <w:rPr>
          <w:rFonts w:hint="eastAsia" w:ascii="仿宋" w:hAnsi="仿宋" w:eastAsia="仿宋"/>
          <w:sz w:val="24"/>
          <w:highlight w:val="none"/>
        </w:rPr>
        <w:t>评审方法：最低价评审法。</w:t>
      </w:r>
    </w:p>
    <w:p w14:paraId="724BAAC4">
      <w:pPr>
        <w:pStyle w:val="15"/>
        <w:numPr>
          <w:ilvl w:val="0"/>
          <w:numId w:val="3"/>
        </w:numPr>
        <w:adjustRightInd w:val="0"/>
        <w:snapToGrid w:val="0"/>
        <w:spacing w:line="360" w:lineRule="auto"/>
        <w:ind w:left="0" w:firstLine="480"/>
        <w:rPr>
          <w:rFonts w:ascii="仿宋" w:hAnsi="仿宋" w:eastAsia="仿宋"/>
          <w:sz w:val="24"/>
          <w:highlight w:val="none"/>
        </w:rPr>
      </w:pPr>
      <w:r>
        <w:rPr>
          <w:rFonts w:hint="eastAsia" w:ascii="仿宋" w:hAnsi="仿宋" w:eastAsia="仿宋"/>
          <w:sz w:val="24"/>
          <w:highlight w:val="none"/>
        </w:rPr>
        <w:t>推荐成交候选人</w:t>
      </w:r>
    </w:p>
    <w:p w14:paraId="59B4BD8A">
      <w:pPr>
        <w:pStyle w:val="15"/>
        <w:adjustRightInd w:val="0"/>
        <w:snapToGrid w:val="0"/>
        <w:spacing w:line="360" w:lineRule="auto"/>
        <w:ind w:firstLine="480"/>
        <w:rPr>
          <w:rFonts w:ascii="仿宋" w:hAnsi="仿宋" w:eastAsia="仿宋"/>
          <w:sz w:val="24"/>
          <w:highlight w:val="none"/>
        </w:rPr>
      </w:pPr>
      <w:bookmarkStart w:id="5" w:name="_Hlk137592000"/>
      <w:r>
        <w:rPr>
          <w:rFonts w:hint="eastAsia" w:ascii="仿宋" w:hAnsi="仿宋" w:eastAsia="仿宋"/>
          <w:sz w:val="24"/>
          <w:highlight w:val="none"/>
        </w:rPr>
        <w:t>评审小组按评审价格由低到高的顺序推荐成交候选人，</w:t>
      </w:r>
      <w:bookmarkEnd w:id="5"/>
      <w:r>
        <w:rPr>
          <w:rFonts w:hint="eastAsia" w:ascii="仿宋" w:hAnsi="仿宋" w:eastAsia="仿宋"/>
          <w:sz w:val="24"/>
          <w:highlight w:val="none"/>
        </w:rPr>
        <w:t>评审价格相等的，评审小组应对工期</w:t>
      </w:r>
      <w:r>
        <w:rPr>
          <w:rFonts w:ascii="仿宋" w:hAnsi="仿宋" w:eastAsia="仿宋"/>
          <w:sz w:val="24"/>
          <w:highlight w:val="none"/>
        </w:rPr>
        <w:t>/交货期/服务期</w:t>
      </w:r>
      <w:r>
        <w:rPr>
          <w:rFonts w:hint="eastAsia" w:ascii="仿宋" w:hAnsi="仿宋" w:eastAsia="仿宋"/>
          <w:sz w:val="24"/>
          <w:highlight w:val="none"/>
        </w:rPr>
        <w:t>的优劣进行排序并推荐成交人，评审价格相等且工期</w:t>
      </w:r>
      <w:r>
        <w:rPr>
          <w:rFonts w:ascii="仿宋" w:hAnsi="仿宋" w:eastAsia="仿宋"/>
          <w:sz w:val="24"/>
          <w:highlight w:val="none"/>
        </w:rPr>
        <w:t>/交货期/服务期</w:t>
      </w:r>
      <w:r>
        <w:rPr>
          <w:rFonts w:hint="eastAsia" w:ascii="仿宋" w:hAnsi="仿宋" w:eastAsia="仿宋"/>
          <w:sz w:val="24"/>
          <w:highlight w:val="none"/>
        </w:rPr>
        <w:t>也相等或无法判断的，评审小组应对质保期的优劣进行排序并推荐成交人，以上均相同或无法判断的，由评审小组根据采购项目情况综合评议确定顺序。</w:t>
      </w:r>
    </w:p>
    <w:p w14:paraId="7670083E">
      <w:pPr>
        <w:pStyle w:val="15"/>
        <w:numPr>
          <w:ilvl w:val="0"/>
          <w:numId w:val="3"/>
        </w:numPr>
        <w:adjustRightInd w:val="0"/>
        <w:snapToGrid w:val="0"/>
        <w:spacing w:line="360" w:lineRule="auto"/>
        <w:ind w:left="0" w:firstLine="480"/>
        <w:rPr>
          <w:rFonts w:ascii="仿宋" w:hAnsi="仿宋" w:eastAsia="仿宋"/>
          <w:sz w:val="24"/>
          <w:highlight w:val="none"/>
        </w:rPr>
      </w:pPr>
      <w:r>
        <w:rPr>
          <w:rFonts w:ascii="仿宋" w:hAnsi="仿宋" w:eastAsia="仿宋"/>
          <w:sz w:val="24"/>
          <w:highlight w:val="none"/>
        </w:rPr>
        <w:t>评审结果</w:t>
      </w:r>
    </w:p>
    <w:p w14:paraId="75C3B594">
      <w:pPr>
        <w:adjustRightInd w:val="0"/>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评审小组完成评审后，评审小组组长应根据守正平台评审报告模板生成评审报告初稿，并根据项目实际情况对评审报告进行修改完善形成最终的评审报告，经评审小组所有成员确认无误后提交。</w:t>
      </w:r>
    </w:p>
    <w:p w14:paraId="236DCD16">
      <w:pPr>
        <w:adjustRightInd w:val="0"/>
        <w:snapToGrid w:val="0"/>
        <w:spacing w:line="360" w:lineRule="auto"/>
        <w:rPr>
          <w:rFonts w:ascii="仿宋" w:hAnsi="仿宋" w:eastAsia="仿宋"/>
          <w:sz w:val="24"/>
          <w:highlight w:val="none"/>
        </w:rPr>
      </w:pPr>
      <w:r>
        <w:rPr>
          <w:rFonts w:ascii="仿宋" w:hAnsi="仿宋" w:eastAsia="仿宋"/>
          <w:sz w:val="24"/>
          <w:highlight w:val="none"/>
        </w:rPr>
        <w:br w:type="page"/>
      </w:r>
    </w:p>
    <w:p w14:paraId="177312D4">
      <w:pPr>
        <w:adjustRightInd w:val="0"/>
        <w:snapToGrid w:val="0"/>
        <w:spacing w:line="360" w:lineRule="auto"/>
        <w:ind w:firstLine="723" w:firstLineChars="200"/>
        <w:rPr>
          <w:rFonts w:ascii="仿宋" w:hAnsi="仿宋" w:eastAsia="仿宋"/>
          <w:b/>
          <w:sz w:val="36"/>
          <w:szCs w:val="36"/>
          <w:highlight w:val="none"/>
        </w:rPr>
      </w:pPr>
    </w:p>
    <w:p w14:paraId="13B2CD75">
      <w:pPr>
        <w:pStyle w:val="2"/>
        <w:tabs>
          <w:tab w:val="left" w:pos="3686"/>
        </w:tabs>
        <w:adjustRightInd w:val="0"/>
        <w:snapToGrid w:val="0"/>
        <w:spacing w:before="0" w:after="0" w:line="360" w:lineRule="auto"/>
        <w:jc w:val="center"/>
        <w:rPr>
          <w:rFonts w:eastAsia="仿宋"/>
          <w:sz w:val="28"/>
          <w:highlight w:val="none"/>
        </w:rPr>
      </w:pPr>
      <w:r>
        <w:rPr>
          <w:rFonts w:hint="eastAsia" w:eastAsia="仿宋"/>
          <w:sz w:val="28"/>
          <w:highlight w:val="none"/>
        </w:rPr>
        <w:t>第二卷 响应供应商要求</w:t>
      </w:r>
    </w:p>
    <w:p w14:paraId="3DC96808">
      <w:pPr>
        <w:jc w:val="center"/>
        <w:rPr>
          <w:rFonts w:eastAsia="仿宋"/>
          <w:highlight w:val="none"/>
        </w:rPr>
      </w:pPr>
    </w:p>
    <w:p w14:paraId="641FFC78">
      <w:pPr>
        <w:spacing w:line="360"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响应供应商须符合下列要求</w:t>
      </w:r>
      <w:r>
        <w:rPr>
          <w:rFonts w:hint="eastAsia" w:ascii="仿宋" w:hAnsi="仿宋" w:eastAsia="仿宋"/>
          <w:sz w:val="24"/>
          <w:highlight w:val="none"/>
        </w:rPr>
        <w:t>，</w:t>
      </w:r>
      <w:r>
        <w:rPr>
          <w:rFonts w:hint="eastAsia" w:ascii="仿宋" w:hAnsi="仿宋" w:eastAsia="仿宋"/>
          <w:kern w:val="0"/>
          <w:sz w:val="24"/>
          <w:highlight w:val="none"/>
        </w:rPr>
        <w:t>否则我司有权否决其响应。</w:t>
      </w:r>
    </w:p>
    <w:p w14:paraId="37280C66">
      <w:pPr>
        <w:pStyle w:val="3"/>
        <w:numPr>
          <w:ilvl w:val="0"/>
          <w:numId w:val="4"/>
        </w:numPr>
        <w:adjustRightInd w:val="0"/>
        <w:snapToGrid w:val="0"/>
        <w:spacing w:before="120" w:after="120" w:line="360" w:lineRule="auto"/>
        <w:ind w:left="0" w:firstLine="0"/>
        <w:jc w:val="left"/>
        <w:rPr>
          <w:rFonts w:eastAsia="仿宋"/>
          <w:sz w:val="24"/>
          <w:highlight w:val="none"/>
        </w:rPr>
      </w:pPr>
      <w:r>
        <w:rPr>
          <w:rFonts w:hint="eastAsia" w:eastAsia="仿宋"/>
          <w:sz w:val="24"/>
          <w:highlight w:val="none"/>
        </w:rPr>
        <w:t>资格要求</w:t>
      </w:r>
    </w:p>
    <w:p w14:paraId="42FFBA8B">
      <w:pPr>
        <w:pStyle w:val="15"/>
        <w:numPr>
          <w:ilvl w:val="3"/>
          <w:numId w:val="5"/>
        </w:numPr>
        <w:spacing w:line="360" w:lineRule="auto"/>
        <w:ind w:left="0" w:firstLine="480"/>
        <w:rPr>
          <w:rFonts w:hint="eastAsia" w:ascii="仿宋" w:hAnsi="仿宋" w:eastAsia="仿宋"/>
          <w:sz w:val="24"/>
          <w:highlight w:val="none"/>
        </w:rPr>
      </w:pPr>
      <w:r>
        <w:rPr>
          <w:rFonts w:hint="eastAsia" w:ascii="仿宋" w:hAnsi="仿宋" w:eastAsia="仿宋"/>
          <w:sz w:val="24"/>
          <w:highlight w:val="none"/>
        </w:rPr>
        <w:t>响应供应商为中华人民共和国境内合法注册的独立法人或其他组织，</w:t>
      </w:r>
      <w:r>
        <w:rPr>
          <w:rFonts w:hint="eastAsia" w:ascii="仿宋" w:hAnsi="仿宋" w:eastAsia="仿宋"/>
          <w:sz w:val="24"/>
          <w:highlight w:val="none"/>
        </w:rPr>
        <w:t>具有独立承担民事责任能力</w:t>
      </w:r>
      <w:r>
        <w:rPr>
          <w:rFonts w:hint="eastAsia" w:ascii="仿宋" w:hAnsi="仿宋" w:eastAsia="仿宋"/>
          <w:sz w:val="24"/>
          <w:highlight w:val="none"/>
        </w:rPr>
        <w:t>，具有独立订立合同的权利。</w:t>
      </w:r>
    </w:p>
    <w:p w14:paraId="522DF780">
      <w:pPr>
        <w:pStyle w:val="15"/>
        <w:numPr>
          <w:ilvl w:val="3"/>
          <w:numId w:val="5"/>
        </w:numPr>
        <w:spacing w:line="360" w:lineRule="auto"/>
        <w:ind w:left="0" w:firstLine="480"/>
        <w:rPr>
          <w:rFonts w:hint="eastAsia" w:ascii="仿宋" w:hAnsi="仿宋" w:eastAsia="仿宋"/>
          <w:sz w:val="24"/>
          <w:highlight w:val="none"/>
        </w:rPr>
      </w:pPr>
      <w:r>
        <w:rPr>
          <w:rFonts w:hint="eastAsia" w:ascii="仿宋" w:hAnsi="仿宋" w:eastAsia="仿宋"/>
          <w:sz w:val="24"/>
          <w:highlight w:val="none"/>
        </w:rPr>
        <w:t>单位具有工程咨询乙级资信、公路行业（公路）专业乙级及以上资质；</w:t>
      </w:r>
    </w:p>
    <w:p w14:paraId="4B7217EB">
      <w:pPr>
        <w:pStyle w:val="15"/>
        <w:numPr>
          <w:ilvl w:val="3"/>
          <w:numId w:val="5"/>
        </w:numPr>
        <w:spacing w:line="360" w:lineRule="auto"/>
        <w:ind w:left="0" w:firstLine="480"/>
        <w:rPr>
          <w:rFonts w:ascii="仿宋" w:hAnsi="仿宋" w:eastAsia="仿宋"/>
          <w:sz w:val="24"/>
          <w:highlight w:val="none"/>
        </w:rPr>
      </w:pPr>
      <w:r>
        <w:rPr>
          <w:rFonts w:hint="eastAsia" w:ascii="仿宋" w:hAnsi="仿宋" w:eastAsia="仿宋"/>
          <w:sz w:val="24"/>
          <w:highlight w:val="none"/>
        </w:rPr>
        <w:t>具有</w:t>
      </w:r>
      <w:r>
        <w:rPr>
          <w:rFonts w:hint="eastAsia" w:ascii="仿宋" w:hAnsi="仿宋" w:eastAsia="仿宋"/>
          <w:sz w:val="24"/>
          <w:highlight w:val="none"/>
          <w:lang w:val="en-US" w:eastAsia="zh-CN"/>
        </w:rPr>
        <w:t>涉</w:t>
      </w:r>
      <w:r>
        <w:rPr>
          <w:rFonts w:hint="eastAsia" w:ascii="仿宋" w:hAnsi="仿宋" w:eastAsia="仿宋"/>
          <w:sz w:val="24"/>
          <w:highlight w:val="none"/>
        </w:rPr>
        <w:t>路工程安全评估相关业绩合同扫描件证</w:t>
      </w:r>
    </w:p>
    <w:p w14:paraId="2AF966A6">
      <w:pPr>
        <w:pStyle w:val="15"/>
        <w:numPr>
          <w:ilvl w:val="3"/>
          <w:numId w:val="5"/>
        </w:numPr>
        <w:spacing w:line="360" w:lineRule="auto"/>
        <w:ind w:left="0" w:firstLine="480"/>
        <w:rPr>
          <w:rFonts w:ascii="仿宋" w:hAnsi="仿宋" w:eastAsia="仿宋"/>
          <w:sz w:val="24"/>
          <w:highlight w:val="none"/>
        </w:rPr>
      </w:pPr>
      <w:r>
        <w:rPr>
          <w:rFonts w:hint="eastAsia" w:ascii="仿宋" w:hAnsi="仿宋" w:eastAsia="仿宋"/>
          <w:kern w:val="0"/>
          <w:sz w:val="24"/>
          <w:highlight w:val="none"/>
        </w:rPr>
        <w:t>信用要求：</w:t>
      </w:r>
    </w:p>
    <w:p w14:paraId="33A49700">
      <w:pPr>
        <w:spacing w:line="360"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（1）响应供应商（含联合体响应的成员单位）未被“国家企业信用信息公示系统” 网站（www.gsxt.gov.cn）列入严重违法失信企业名单（如：提供网站查询界面截图）；</w:t>
      </w:r>
    </w:p>
    <w:p w14:paraId="3CC04D06">
      <w:pPr>
        <w:spacing w:line="360" w:lineRule="auto"/>
        <w:ind w:firstLine="480" w:firstLineChars="200"/>
        <w:rPr>
          <w:rFonts w:ascii="仿宋" w:hAnsi="仿宋" w:eastAsia="仿宋"/>
          <w:kern w:val="0"/>
          <w:sz w:val="24"/>
          <w:highlight w:val="none"/>
        </w:rPr>
      </w:pPr>
      <w:r>
        <w:rPr>
          <w:rFonts w:hint="eastAsia" w:ascii="仿宋" w:hAnsi="仿宋" w:eastAsia="仿宋"/>
          <w:kern w:val="0"/>
          <w:sz w:val="24"/>
          <w:highlight w:val="none"/>
        </w:rPr>
        <w:t>（2）响应供应商（含联合体响应的成员单位）未被 “信用中国”网站（www.creditchina.gov.cn）列入严重失信主体名单（如：提供网站查询界面截图）。</w:t>
      </w:r>
    </w:p>
    <w:p w14:paraId="4A0AFB6B">
      <w:pPr>
        <w:pStyle w:val="3"/>
        <w:numPr>
          <w:ilvl w:val="0"/>
          <w:numId w:val="4"/>
        </w:numPr>
        <w:adjustRightInd w:val="0"/>
        <w:snapToGrid w:val="0"/>
        <w:spacing w:before="120" w:after="120" w:line="360" w:lineRule="auto"/>
        <w:ind w:left="0" w:firstLine="0"/>
        <w:jc w:val="left"/>
        <w:rPr>
          <w:rFonts w:eastAsia="仿宋"/>
          <w:sz w:val="24"/>
          <w:highlight w:val="none"/>
        </w:rPr>
      </w:pPr>
      <w:bookmarkStart w:id="6" w:name="OLE_LINK22"/>
      <w:bookmarkStart w:id="7" w:name="OLE_LINK21"/>
      <w:r>
        <w:rPr>
          <w:rFonts w:hint="eastAsia" w:eastAsia="仿宋"/>
          <w:sz w:val="24"/>
          <w:highlight w:val="none"/>
        </w:rPr>
        <w:t>其他要求</w:t>
      </w:r>
    </w:p>
    <w:p w14:paraId="4B1D9DD1">
      <w:pPr>
        <w:pStyle w:val="15"/>
        <w:numPr>
          <w:ilvl w:val="3"/>
          <w:numId w:val="6"/>
        </w:numPr>
        <w:overflowPunct w:val="0"/>
        <w:spacing w:line="360" w:lineRule="auto"/>
        <w:ind w:left="0" w:firstLine="480"/>
        <w:rPr>
          <w:rFonts w:ascii="仿宋" w:hAnsi="仿宋" w:eastAsia="仿宋"/>
          <w:sz w:val="24"/>
          <w:highlight w:val="none"/>
        </w:rPr>
      </w:pPr>
      <w:r>
        <w:rPr>
          <w:rFonts w:hint="eastAsia" w:ascii="仿宋" w:hAnsi="仿宋" w:eastAsia="仿宋"/>
          <w:sz w:val="24"/>
          <w:highlight w:val="none"/>
        </w:rPr>
        <w:t>成交单位应在成交通知书发出之日起30日内与我司签订合同，否则应依法承担相应的责任</w:t>
      </w:r>
      <w:r>
        <w:rPr>
          <w:rFonts w:hint="eastAsia" w:ascii="仿宋" w:hAnsi="仿宋" w:eastAsia="仿宋"/>
          <w:kern w:val="0"/>
          <w:sz w:val="24"/>
          <w:highlight w:val="none"/>
        </w:rPr>
        <w:t>。</w:t>
      </w:r>
    </w:p>
    <w:p w14:paraId="413D2A83">
      <w:pPr>
        <w:pStyle w:val="15"/>
        <w:numPr>
          <w:ilvl w:val="3"/>
          <w:numId w:val="6"/>
        </w:numPr>
        <w:overflowPunct w:val="0"/>
        <w:spacing w:line="360" w:lineRule="auto"/>
        <w:ind w:left="0" w:firstLine="480"/>
        <w:rPr>
          <w:rFonts w:ascii="仿宋" w:hAnsi="仿宋" w:eastAsia="仿宋"/>
          <w:sz w:val="24"/>
          <w:highlight w:val="none"/>
        </w:rPr>
      </w:pPr>
      <w:r>
        <w:rPr>
          <w:rFonts w:hint="eastAsia" w:ascii="仿宋" w:hAnsi="仿宋" w:eastAsia="仿宋"/>
          <w:sz w:val="24"/>
          <w:highlight w:val="none"/>
        </w:rPr>
        <w:t>若成交候选人无正当理由不与采购人订立合同，在签订合同时向采购人提出附加条件，或者不按照采购文件要求提交履约保证金，有多个成交候选人的，可顺位选择后续成交候选人签订合同，或重新组织采购活动。</w:t>
      </w:r>
    </w:p>
    <w:p w14:paraId="72DF261F">
      <w:pPr>
        <w:pStyle w:val="15"/>
        <w:numPr>
          <w:ilvl w:val="3"/>
          <w:numId w:val="6"/>
        </w:numPr>
        <w:overflowPunct w:val="0"/>
        <w:spacing w:line="360" w:lineRule="auto"/>
        <w:ind w:left="0" w:firstLine="480"/>
        <w:rPr>
          <w:rFonts w:ascii="仿宋" w:hAnsi="仿宋" w:eastAsia="仿宋"/>
          <w:sz w:val="24"/>
          <w:highlight w:val="none"/>
        </w:rPr>
      </w:pPr>
      <w:r>
        <w:rPr>
          <w:rFonts w:hint="eastAsia" w:ascii="仿宋" w:hAnsi="仿宋" w:eastAsia="仿宋"/>
          <w:sz w:val="24"/>
          <w:highlight w:val="none"/>
        </w:rPr>
        <w:t>供应商在采购活动中出现失信行为的，将按照华润燃气相关管理办法执行</w:t>
      </w:r>
      <w:r>
        <w:rPr>
          <w:rFonts w:ascii="仿宋" w:hAnsi="仿宋" w:eastAsia="仿宋"/>
          <w:sz w:val="24"/>
          <w:highlight w:val="none"/>
        </w:rPr>
        <w:t>。</w:t>
      </w:r>
      <w:r>
        <w:rPr>
          <w:rFonts w:hint="eastAsia" w:ascii="仿宋" w:hAnsi="仿宋" w:eastAsia="仿宋"/>
          <w:sz w:val="24"/>
          <w:highlight w:val="none"/>
        </w:rPr>
        <w:t>详见合同附件《附件2：供应商失信行为处置标准》。</w:t>
      </w:r>
    </w:p>
    <w:p w14:paraId="1C372FC9">
      <w:pPr>
        <w:pStyle w:val="15"/>
        <w:numPr>
          <w:ilvl w:val="3"/>
          <w:numId w:val="6"/>
        </w:numPr>
        <w:overflowPunct w:val="0"/>
        <w:spacing w:line="360" w:lineRule="auto"/>
        <w:ind w:left="0" w:firstLine="480"/>
        <w:rPr>
          <w:rFonts w:ascii="仿宋" w:hAnsi="仿宋" w:eastAsia="仿宋"/>
          <w:sz w:val="24"/>
          <w:highlight w:val="none"/>
        </w:rPr>
      </w:pPr>
      <w:r>
        <w:rPr>
          <w:rFonts w:hint="eastAsia" w:ascii="仿宋" w:hAnsi="仿宋" w:eastAsia="仿宋"/>
          <w:sz w:val="24"/>
          <w:highlight w:val="none"/>
        </w:rPr>
        <w:t>在合同期内，投标单位一旦被全国企业信用信息公示系统列入严重违法失信企业名单；或被“信用中国”网站列入严重失信主体名单；或被华润燃气集团列入黑名单的，招标人有权终止合同。</w:t>
      </w:r>
    </w:p>
    <w:bookmarkEnd w:id="6"/>
    <w:bookmarkEnd w:id="7"/>
    <w:p w14:paraId="4BE77633">
      <w:pPr>
        <w:pStyle w:val="15"/>
        <w:numPr>
          <w:ilvl w:val="3"/>
          <w:numId w:val="6"/>
        </w:numPr>
        <w:overflowPunct w:val="0"/>
        <w:spacing w:line="360" w:lineRule="auto"/>
        <w:ind w:left="0" w:firstLine="480"/>
        <w:rPr>
          <w:rFonts w:ascii="仿宋" w:hAnsi="仿宋" w:eastAsia="仿宋"/>
          <w:sz w:val="24"/>
          <w:highlight w:val="none"/>
        </w:rPr>
      </w:pPr>
      <w:bookmarkStart w:id="8" w:name="OLE_LINK42"/>
      <w:bookmarkStart w:id="9" w:name="OLE_LINK46"/>
      <w:bookmarkStart w:id="10" w:name="OLE_LINK43"/>
      <w:r>
        <w:rPr>
          <w:rFonts w:hint="eastAsia" w:ascii="仿宋" w:hAnsi="仿宋" w:eastAsia="仿宋"/>
          <w:kern w:val="0"/>
          <w:sz w:val="24"/>
          <w:highlight w:val="none"/>
        </w:rPr>
        <w:t>否决响应文件情形</w:t>
      </w:r>
      <w:bookmarkEnd w:id="8"/>
      <w:bookmarkEnd w:id="9"/>
      <w:bookmarkEnd w:id="1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591"/>
      </w:tblGrid>
      <w:tr w14:paraId="509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tcPr>
          <w:p w14:paraId="7BA683E7">
            <w:pPr>
              <w:widowControl/>
              <w:spacing w:line="360" w:lineRule="exact"/>
              <w:jc w:val="center"/>
              <w:rPr>
                <w:rFonts w:ascii="仿宋" w:hAnsi="仿宋" w:eastAsia="仿宋"/>
                <w:b/>
                <w:bCs/>
                <w:sz w:val="24"/>
                <w:highlight w:val="none"/>
              </w:rPr>
            </w:pPr>
            <w:r>
              <w:rPr>
                <w:rFonts w:hint="eastAsia" w:ascii="仿宋" w:hAnsi="仿宋" w:eastAsia="仿宋"/>
                <w:b/>
                <w:bCs/>
                <w:sz w:val="24"/>
                <w:highlight w:val="none"/>
              </w:rPr>
              <w:t>序号</w:t>
            </w:r>
          </w:p>
        </w:tc>
        <w:tc>
          <w:tcPr>
            <w:tcW w:w="7591" w:type="dxa"/>
          </w:tcPr>
          <w:p w14:paraId="70042A31">
            <w:pPr>
              <w:widowControl/>
              <w:spacing w:line="360" w:lineRule="exact"/>
              <w:jc w:val="center"/>
              <w:rPr>
                <w:rFonts w:ascii="仿宋" w:hAnsi="仿宋" w:eastAsia="仿宋"/>
                <w:b/>
                <w:bCs/>
                <w:sz w:val="24"/>
                <w:highlight w:val="none"/>
              </w:rPr>
            </w:pPr>
            <w:r>
              <w:rPr>
                <w:rFonts w:hint="eastAsia" w:ascii="仿宋" w:hAnsi="仿宋" w:eastAsia="仿宋"/>
                <w:b/>
                <w:bCs/>
                <w:sz w:val="24"/>
                <w:highlight w:val="none"/>
              </w:rPr>
              <w:t>否决响应文件情形</w:t>
            </w:r>
          </w:p>
        </w:tc>
      </w:tr>
      <w:tr w14:paraId="262E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580CCCA7">
            <w:pPr>
              <w:pStyle w:val="15"/>
              <w:widowControl/>
              <w:numPr>
                <w:ilvl w:val="0"/>
                <w:numId w:val="7"/>
              </w:numPr>
              <w:spacing w:line="360" w:lineRule="exact"/>
              <w:ind w:firstLineChars="0"/>
              <w:jc w:val="center"/>
              <w:rPr>
                <w:rFonts w:ascii="仿宋" w:hAnsi="仿宋" w:eastAsia="仿宋"/>
                <w:sz w:val="24"/>
                <w:highlight w:val="none"/>
              </w:rPr>
            </w:pPr>
          </w:p>
        </w:tc>
        <w:tc>
          <w:tcPr>
            <w:tcW w:w="7591" w:type="dxa"/>
            <w:noWrap/>
          </w:tcPr>
          <w:p w14:paraId="4B2CFB8A">
            <w:pPr>
              <w:widowControl/>
              <w:spacing w:line="360" w:lineRule="exact"/>
              <w:rPr>
                <w:rFonts w:ascii="仿宋" w:hAnsi="仿宋" w:eastAsia="仿宋"/>
                <w:sz w:val="24"/>
                <w:highlight w:val="none"/>
              </w:rPr>
            </w:pPr>
            <w:r>
              <w:rPr>
                <w:rFonts w:hint="eastAsia" w:ascii="仿宋" w:hAnsi="仿宋" w:eastAsia="仿宋"/>
                <w:sz w:val="24"/>
                <w:highlight w:val="none"/>
              </w:rPr>
              <w:t>响应文件没有按供应商须知前附表中要求签字或盖章</w:t>
            </w:r>
          </w:p>
        </w:tc>
      </w:tr>
      <w:tr w14:paraId="2CD0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098EC4EE">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34D94FB4">
            <w:pPr>
              <w:widowControl/>
              <w:spacing w:line="360" w:lineRule="exact"/>
              <w:rPr>
                <w:rFonts w:ascii="仿宋" w:hAnsi="仿宋" w:eastAsia="仿宋"/>
                <w:sz w:val="24"/>
                <w:highlight w:val="none"/>
              </w:rPr>
            </w:pPr>
            <w:r>
              <w:rPr>
                <w:rFonts w:hint="eastAsia" w:ascii="仿宋" w:hAnsi="仿宋" w:eastAsia="仿宋"/>
                <w:sz w:val="24"/>
                <w:highlight w:val="none"/>
              </w:rPr>
              <w:t>响应文件未经响应供应商盖章和单位负责人签字</w:t>
            </w:r>
          </w:p>
        </w:tc>
      </w:tr>
      <w:tr w14:paraId="4280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0978E744">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045158C5">
            <w:pPr>
              <w:widowControl/>
              <w:spacing w:line="360" w:lineRule="exact"/>
              <w:rPr>
                <w:rFonts w:ascii="仿宋" w:hAnsi="仿宋" w:eastAsia="仿宋"/>
                <w:sz w:val="24"/>
                <w:highlight w:val="none"/>
              </w:rPr>
            </w:pPr>
            <w:r>
              <w:rPr>
                <w:rFonts w:hint="eastAsia" w:ascii="仿宋" w:hAnsi="仿宋" w:eastAsia="仿宋"/>
                <w:sz w:val="24"/>
                <w:highlight w:val="none"/>
              </w:rPr>
              <w:t>允许联合体响应的，联合体未提交联合投标协议或者联合体各方以自己名义或加入其他联合体响应的，其响应文件将被否决</w:t>
            </w:r>
          </w:p>
        </w:tc>
      </w:tr>
      <w:tr w14:paraId="2D04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1F736591">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030AC332">
            <w:pPr>
              <w:widowControl/>
              <w:spacing w:line="360" w:lineRule="exact"/>
              <w:rPr>
                <w:rFonts w:ascii="仿宋" w:hAnsi="仿宋" w:eastAsia="仿宋"/>
                <w:sz w:val="24"/>
                <w:highlight w:val="none"/>
              </w:rPr>
            </w:pPr>
            <w:r>
              <w:rPr>
                <w:rFonts w:hint="eastAsia" w:ascii="仿宋" w:hAnsi="仿宋" w:eastAsia="仿宋"/>
                <w:sz w:val="24"/>
                <w:highlight w:val="none"/>
              </w:rPr>
              <w:t>响应供应商不符合国家或者采购文件规定的资格条件。</w:t>
            </w:r>
          </w:p>
        </w:tc>
      </w:tr>
      <w:tr w14:paraId="526F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7C501DD5">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16F58B01">
            <w:pPr>
              <w:widowControl/>
              <w:spacing w:line="360" w:lineRule="exact"/>
              <w:rPr>
                <w:rFonts w:ascii="仿宋" w:hAnsi="仿宋" w:eastAsia="仿宋"/>
                <w:sz w:val="24"/>
                <w:highlight w:val="none"/>
              </w:rPr>
            </w:pPr>
            <w:r>
              <w:rPr>
                <w:rFonts w:hint="eastAsia" w:ascii="仿宋" w:hAnsi="仿宋" w:eastAsia="仿宋"/>
                <w:sz w:val="24"/>
                <w:highlight w:val="none"/>
              </w:rPr>
              <w:t>同一响应提交两个以上不同的响应文件，但采购文件要求提交备选响应文件的除外。</w:t>
            </w:r>
          </w:p>
        </w:tc>
      </w:tr>
      <w:tr w14:paraId="0C2C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1ADFFC36">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11D74177">
            <w:pPr>
              <w:widowControl/>
              <w:spacing w:line="360" w:lineRule="exact"/>
              <w:rPr>
                <w:rFonts w:ascii="仿宋" w:hAnsi="仿宋" w:eastAsia="仿宋"/>
                <w:sz w:val="24"/>
                <w:highlight w:val="none"/>
              </w:rPr>
            </w:pPr>
            <w:r>
              <w:rPr>
                <w:rFonts w:hint="eastAsia" w:ascii="仿宋" w:hAnsi="仿宋" w:eastAsia="仿宋"/>
                <w:sz w:val="24"/>
                <w:highlight w:val="none"/>
              </w:rPr>
              <w:t>响应文件格式、内容与采购文件要求不符，有较大偏差。</w:t>
            </w:r>
          </w:p>
        </w:tc>
      </w:tr>
      <w:tr w14:paraId="4311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1F42BB58">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5363EF1C">
            <w:pPr>
              <w:widowControl/>
              <w:spacing w:line="360" w:lineRule="exact"/>
              <w:rPr>
                <w:rFonts w:ascii="仿宋" w:hAnsi="仿宋" w:eastAsia="仿宋"/>
                <w:sz w:val="24"/>
                <w:highlight w:val="none"/>
              </w:rPr>
            </w:pPr>
            <w:r>
              <w:rPr>
                <w:rFonts w:hint="eastAsia" w:ascii="仿宋" w:hAnsi="仿宋" w:eastAsia="仿宋"/>
                <w:sz w:val="24"/>
                <w:highlight w:val="none"/>
              </w:rPr>
              <w:t>报价低于成本或者高于采购文件设定的最高报价限价。</w:t>
            </w:r>
          </w:p>
        </w:tc>
      </w:tr>
      <w:tr w14:paraId="1DF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404D2A1A">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2E380284">
            <w:pPr>
              <w:widowControl/>
              <w:spacing w:line="360" w:lineRule="exact"/>
              <w:rPr>
                <w:rFonts w:ascii="仿宋" w:hAnsi="仿宋" w:eastAsia="仿宋"/>
                <w:sz w:val="24"/>
                <w:highlight w:val="none"/>
              </w:rPr>
            </w:pPr>
            <w:r>
              <w:rPr>
                <w:rFonts w:hint="eastAsia" w:ascii="仿宋" w:hAnsi="仿宋" w:eastAsia="仿宋"/>
                <w:sz w:val="24"/>
                <w:highlight w:val="none"/>
              </w:rPr>
              <w:t>响应文件没有对采购文件的实质性要求和条件作出响应。</w:t>
            </w:r>
          </w:p>
        </w:tc>
      </w:tr>
      <w:tr w14:paraId="5D14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295D269F">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6FBD0F6C">
            <w:pPr>
              <w:widowControl/>
              <w:spacing w:line="360" w:lineRule="exact"/>
              <w:rPr>
                <w:rFonts w:ascii="仿宋" w:hAnsi="仿宋" w:eastAsia="仿宋"/>
                <w:sz w:val="24"/>
                <w:highlight w:val="none"/>
              </w:rPr>
            </w:pPr>
            <w:r>
              <w:rPr>
                <w:rFonts w:hint="eastAsia" w:ascii="仿宋" w:hAnsi="仿宋" w:eastAsia="仿宋"/>
                <w:sz w:val="24"/>
                <w:highlight w:val="none"/>
              </w:rPr>
              <w:t>响应供应商有串通投标、弄虚作假、行贿等违法行为。</w:t>
            </w:r>
          </w:p>
        </w:tc>
      </w:tr>
      <w:tr w14:paraId="2B2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450D79E1">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27CEE593">
            <w:pPr>
              <w:widowControl/>
              <w:spacing w:line="360" w:lineRule="exact"/>
              <w:rPr>
                <w:rFonts w:ascii="仿宋" w:hAnsi="仿宋" w:eastAsia="仿宋"/>
                <w:sz w:val="24"/>
                <w:highlight w:val="none"/>
              </w:rPr>
            </w:pPr>
            <w:r>
              <w:rPr>
                <w:rFonts w:hint="eastAsia" w:ascii="仿宋" w:hAnsi="仿宋" w:eastAsia="仿宋"/>
                <w:sz w:val="24"/>
                <w:highlight w:val="none"/>
              </w:rPr>
              <w:t>响应供应商属于失信被执行人。</w:t>
            </w:r>
          </w:p>
        </w:tc>
      </w:tr>
      <w:tr w14:paraId="308E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6C887607">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3F460FD0">
            <w:pPr>
              <w:widowControl/>
              <w:spacing w:line="360" w:lineRule="exact"/>
              <w:rPr>
                <w:rFonts w:ascii="仿宋" w:hAnsi="仿宋" w:eastAsia="仿宋"/>
                <w:sz w:val="24"/>
                <w:highlight w:val="none"/>
              </w:rPr>
            </w:pPr>
            <w:r>
              <w:rPr>
                <w:rFonts w:hint="eastAsia" w:ascii="仿宋" w:hAnsi="仿宋" w:eastAsia="仿宋"/>
                <w:sz w:val="24"/>
                <w:highlight w:val="none"/>
              </w:rPr>
              <w:t>响应供应商在响应截止后撤销响应文件的</w:t>
            </w:r>
          </w:p>
        </w:tc>
      </w:tr>
      <w:tr w14:paraId="586C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197CE3D1">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0C374CA6">
            <w:pPr>
              <w:widowControl/>
              <w:spacing w:line="360" w:lineRule="exact"/>
              <w:rPr>
                <w:rFonts w:ascii="仿宋" w:hAnsi="仿宋" w:eastAsia="仿宋"/>
                <w:sz w:val="24"/>
                <w:highlight w:val="none"/>
              </w:rPr>
            </w:pPr>
            <w:r>
              <w:rPr>
                <w:rFonts w:hint="eastAsia" w:ascii="仿宋" w:hAnsi="仿宋" w:eastAsia="仿宋"/>
                <w:sz w:val="24"/>
                <w:highlight w:val="none"/>
              </w:rPr>
              <w:t>响应供应商在提交响应文件截止时间后对响应文件提出实质性修改的</w:t>
            </w:r>
          </w:p>
        </w:tc>
      </w:tr>
      <w:tr w14:paraId="14E7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5445E45C">
            <w:pPr>
              <w:pStyle w:val="15"/>
              <w:widowControl/>
              <w:numPr>
                <w:ilvl w:val="0"/>
                <w:numId w:val="7"/>
              </w:numPr>
              <w:spacing w:line="360" w:lineRule="exact"/>
              <w:ind w:firstLineChars="0"/>
              <w:jc w:val="center"/>
              <w:rPr>
                <w:rFonts w:ascii="仿宋" w:hAnsi="仿宋" w:eastAsia="仿宋"/>
                <w:sz w:val="24"/>
                <w:highlight w:val="none"/>
              </w:rPr>
            </w:pPr>
          </w:p>
        </w:tc>
        <w:tc>
          <w:tcPr>
            <w:tcW w:w="7591" w:type="dxa"/>
            <w:shd w:val="clear" w:color="auto" w:fill="auto"/>
          </w:tcPr>
          <w:p w14:paraId="12A60A09">
            <w:pPr>
              <w:widowControl/>
              <w:spacing w:line="360" w:lineRule="exact"/>
              <w:rPr>
                <w:rFonts w:ascii="仿宋" w:hAnsi="仿宋" w:eastAsia="仿宋"/>
                <w:sz w:val="24"/>
                <w:highlight w:val="none"/>
              </w:rPr>
            </w:pPr>
            <w:r>
              <w:rPr>
                <w:rFonts w:hint="eastAsia" w:ascii="仿宋" w:hAnsi="仿宋" w:eastAsia="仿宋"/>
                <w:sz w:val="24"/>
                <w:highlight w:val="none"/>
              </w:rPr>
              <w:t>过去存在不良行为并对采购人及所属单位造成严重影响后果的（响应供应商不良行为包括：</w:t>
            </w:r>
            <w:r>
              <w:rPr>
                <w:rFonts w:ascii="仿宋" w:hAnsi="仿宋" w:eastAsia="仿宋"/>
                <w:sz w:val="24"/>
                <w:highlight w:val="none"/>
              </w:rPr>
              <w:t>1.</w:t>
            </w:r>
            <w:r>
              <w:rPr>
                <w:rFonts w:hint="eastAsia" w:ascii="仿宋" w:hAnsi="仿宋" w:eastAsia="仿宋"/>
                <w:sz w:val="24"/>
                <w:highlight w:val="none"/>
              </w:rPr>
              <w:t>招评标过程中被证实存在违法、违规行为的；</w:t>
            </w:r>
            <w:r>
              <w:rPr>
                <w:rFonts w:ascii="仿宋" w:hAnsi="仿宋" w:eastAsia="仿宋"/>
                <w:sz w:val="24"/>
                <w:highlight w:val="none"/>
              </w:rPr>
              <w:t>2.</w:t>
            </w:r>
            <w:r>
              <w:rPr>
                <w:rFonts w:hint="eastAsia" w:ascii="仿宋" w:hAnsi="仿宋" w:eastAsia="仿宋"/>
                <w:sz w:val="24"/>
                <w:highlight w:val="none"/>
              </w:rPr>
              <w:t>履约过程中出现严重违约、重大合同纠纷的；</w:t>
            </w:r>
            <w:r>
              <w:rPr>
                <w:rFonts w:ascii="仿宋" w:hAnsi="仿宋" w:eastAsia="仿宋"/>
                <w:sz w:val="24"/>
                <w:highlight w:val="none"/>
              </w:rPr>
              <w:t>3.</w:t>
            </w:r>
            <w:r>
              <w:rPr>
                <w:rFonts w:hint="eastAsia" w:ascii="仿宋" w:hAnsi="仿宋" w:eastAsia="仿宋"/>
                <w:sz w:val="24"/>
                <w:highlight w:val="none"/>
              </w:rPr>
              <w:t>中标或成交后无正当理由不签订合同的）。</w:t>
            </w:r>
          </w:p>
        </w:tc>
      </w:tr>
      <w:tr w14:paraId="2291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65000441">
            <w:pPr>
              <w:pStyle w:val="15"/>
              <w:widowControl/>
              <w:numPr>
                <w:ilvl w:val="0"/>
                <w:numId w:val="7"/>
              </w:numPr>
              <w:spacing w:line="360" w:lineRule="exact"/>
              <w:ind w:firstLineChars="0"/>
              <w:jc w:val="center"/>
              <w:rPr>
                <w:rFonts w:ascii="仿宋" w:hAnsi="仿宋" w:eastAsia="仿宋"/>
                <w:sz w:val="24"/>
                <w:highlight w:val="none"/>
              </w:rPr>
            </w:pPr>
          </w:p>
        </w:tc>
        <w:tc>
          <w:tcPr>
            <w:tcW w:w="7591" w:type="dxa"/>
            <w:shd w:val="clear" w:color="auto" w:fill="auto"/>
          </w:tcPr>
          <w:p w14:paraId="46187745">
            <w:pPr>
              <w:widowControl/>
              <w:spacing w:line="360" w:lineRule="exact"/>
              <w:rPr>
                <w:rFonts w:ascii="仿宋" w:hAnsi="仿宋" w:eastAsia="仿宋"/>
                <w:sz w:val="24"/>
                <w:highlight w:val="none"/>
              </w:rPr>
            </w:pPr>
            <w:r>
              <w:rPr>
                <w:rFonts w:hint="eastAsia" w:ascii="仿宋" w:hAnsi="仿宋" w:eastAsia="仿宋"/>
                <w:sz w:val="24"/>
                <w:highlight w:val="none"/>
              </w:rPr>
              <w:t>经评审委员会评定，认为所有报价均明显高出市场合理价时，可以否决所有报价。</w:t>
            </w:r>
          </w:p>
        </w:tc>
      </w:tr>
      <w:tr w14:paraId="3B83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tcPr>
          <w:p w14:paraId="39F59F14">
            <w:pPr>
              <w:pStyle w:val="15"/>
              <w:widowControl/>
              <w:numPr>
                <w:ilvl w:val="0"/>
                <w:numId w:val="7"/>
              </w:numPr>
              <w:spacing w:line="360" w:lineRule="exact"/>
              <w:ind w:firstLineChars="0"/>
              <w:jc w:val="center"/>
              <w:rPr>
                <w:rFonts w:ascii="仿宋" w:hAnsi="仿宋" w:eastAsia="仿宋"/>
                <w:sz w:val="24"/>
                <w:highlight w:val="none"/>
              </w:rPr>
            </w:pPr>
          </w:p>
        </w:tc>
        <w:tc>
          <w:tcPr>
            <w:tcW w:w="7591" w:type="dxa"/>
          </w:tcPr>
          <w:p w14:paraId="0AC59E20">
            <w:pPr>
              <w:widowControl/>
              <w:spacing w:line="360" w:lineRule="exact"/>
              <w:rPr>
                <w:rFonts w:ascii="仿宋" w:hAnsi="仿宋" w:eastAsia="仿宋"/>
                <w:sz w:val="24"/>
                <w:highlight w:val="none"/>
              </w:rPr>
            </w:pPr>
            <w:r>
              <w:rPr>
                <w:rFonts w:hint="eastAsia" w:ascii="仿宋" w:hAnsi="仿宋" w:eastAsia="仿宋"/>
                <w:sz w:val="24"/>
                <w:highlight w:val="none"/>
              </w:rPr>
              <w:t>响应供应商被采购方或华润燃气集团任何一方列入黑名单。</w:t>
            </w:r>
          </w:p>
        </w:tc>
      </w:tr>
      <w:tr w14:paraId="214B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noWrap/>
            <w:vAlign w:val="center"/>
          </w:tcPr>
          <w:p w14:paraId="4876ED07">
            <w:pPr>
              <w:pStyle w:val="15"/>
              <w:widowControl/>
              <w:numPr>
                <w:ilvl w:val="0"/>
                <w:numId w:val="7"/>
              </w:numPr>
              <w:spacing w:line="360" w:lineRule="exact"/>
              <w:ind w:firstLineChars="0"/>
              <w:jc w:val="center"/>
              <w:rPr>
                <w:rFonts w:ascii="仿宋" w:hAnsi="仿宋" w:eastAsia="仿宋"/>
                <w:sz w:val="24"/>
                <w:highlight w:val="none"/>
              </w:rPr>
            </w:pPr>
          </w:p>
        </w:tc>
        <w:tc>
          <w:tcPr>
            <w:tcW w:w="7591" w:type="dxa"/>
            <w:vAlign w:val="center"/>
          </w:tcPr>
          <w:p w14:paraId="7780BA23">
            <w:pPr>
              <w:widowControl/>
              <w:jc w:val="left"/>
              <w:rPr>
                <w:rFonts w:ascii="仿宋" w:hAnsi="仿宋" w:eastAsia="仿宋"/>
                <w:color w:val="000000"/>
                <w:kern w:val="0"/>
                <w:sz w:val="24"/>
                <w:highlight w:val="none"/>
              </w:rPr>
            </w:pPr>
            <w:r>
              <w:rPr>
                <w:rFonts w:hint="eastAsia" w:ascii="仿宋" w:hAnsi="仿宋" w:eastAsia="仿宋"/>
                <w:color w:val="000000"/>
                <w:kern w:val="0"/>
                <w:sz w:val="24"/>
                <w:highlight w:val="none"/>
              </w:rPr>
              <w:t>关联企业参加同标段或未划分标段的同一项目响应，关联关系认定详见第二卷</w:t>
            </w:r>
            <w:r>
              <w:rPr>
                <w:rFonts w:ascii="仿宋" w:hAnsi="仿宋" w:eastAsia="仿宋"/>
                <w:color w:val="000000"/>
                <w:kern w:val="0"/>
                <w:sz w:val="24"/>
                <w:highlight w:val="none"/>
              </w:rPr>
              <w:t>《附件</w:t>
            </w:r>
            <w:r>
              <w:rPr>
                <w:rFonts w:hint="eastAsia" w:ascii="仿宋" w:hAnsi="仿宋" w:eastAsia="仿宋"/>
                <w:color w:val="000000"/>
                <w:kern w:val="0"/>
                <w:sz w:val="24"/>
                <w:highlight w:val="none"/>
              </w:rPr>
              <w:t>一</w:t>
            </w:r>
            <w:r>
              <w:rPr>
                <w:rFonts w:ascii="仿宋" w:hAnsi="仿宋" w:eastAsia="仿宋"/>
                <w:color w:val="000000"/>
                <w:kern w:val="0"/>
                <w:sz w:val="24"/>
                <w:highlight w:val="none"/>
              </w:rPr>
              <w:t>：供应商关联</w:t>
            </w:r>
            <w:r>
              <w:rPr>
                <w:rFonts w:hint="eastAsia" w:ascii="仿宋" w:hAnsi="仿宋" w:eastAsia="仿宋"/>
                <w:color w:val="000000"/>
                <w:kern w:val="0"/>
                <w:sz w:val="24"/>
                <w:highlight w:val="none"/>
              </w:rPr>
              <w:t>企业</w:t>
            </w:r>
            <w:r>
              <w:rPr>
                <w:rFonts w:ascii="仿宋" w:hAnsi="仿宋" w:eastAsia="仿宋"/>
                <w:color w:val="000000"/>
                <w:kern w:val="0"/>
                <w:sz w:val="24"/>
                <w:highlight w:val="none"/>
              </w:rPr>
              <w:t>认定》。</w:t>
            </w:r>
          </w:p>
        </w:tc>
      </w:tr>
    </w:tbl>
    <w:p w14:paraId="15E5F479">
      <w:pPr>
        <w:pStyle w:val="15"/>
        <w:numPr>
          <w:ilvl w:val="3"/>
          <w:numId w:val="6"/>
        </w:numPr>
        <w:overflowPunct w:val="0"/>
        <w:spacing w:line="360" w:lineRule="auto"/>
        <w:ind w:left="0" w:firstLine="480"/>
        <w:rPr>
          <w:rFonts w:ascii="仿宋" w:hAnsi="仿宋" w:eastAsia="仿宋"/>
          <w:kern w:val="0"/>
          <w:sz w:val="24"/>
          <w:highlight w:val="none"/>
        </w:rPr>
      </w:pPr>
      <w:r>
        <w:rPr>
          <w:rFonts w:hint="eastAsia" w:eastAsia="仿宋"/>
          <w:kern w:val="0"/>
          <w:sz w:val="24"/>
          <w:highlight w:val="none"/>
        </w:rPr>
        <w:t>若采购文件有列举品牌、厂家等内容的条款要求，供应商可以提供所列举品牌、厂家或等同及以上的其他品牌、厂家；供应商若提供所列举品牌、厂家之外的其他品牌、厂家，需要提交相关的技术性能、应用业绩、认证情况等证明文件，最终由评审专家评审</w:t>
      </w:r>
      <w:r>
        <w:rPr>
          <w:rFonts w:hint="eastAsia" w:ascii="仿宋" w:hAnsi="仿宋" w:eastAsia="仿宋"/>
          <w:kern w:val="0"/>
          <w:sz w:val="24"/>
          <w:highlight w:val="none"/>
        </w:rPr>
        <w:t>。</w:t>
      </w:r>
    </w:p>
    <w:p w14:paraId="7CBE1071">
      <w:pPr>
        <w:pStyle w:val="3"/>
        <w:adjustRightInd w:val="0"/>
        <w:snapToGrid w:val="0"/>
        <w:spacing w:before="120" w:after="120" w:line="360" w:lineRule="auto"/>
        <w:jc w:val="left"/>
        <w:rPr>
          <w:rFonts w:ascii="仿宋" w:hAnsi="仿宋" w:eastAsia="仿宋"/>
          <w:sz w:val="24"/>
          <w:szCs w:val="24"/>
          <w:highlight w:val="none"/>
        </w:rPr>
      </w:pPr>
      <w:bookmarkStart w:id="11" w:name="_Toc186288242"/>
      <w:bookmarkStart w:id="12" w:name="_Toc147758820"/>
      <w:bookmarkStart w:id="13" w:name="_Toc143272057"/>
      <w:r>
        <w:rPr>
          <w:rFonts w:hint="eastAsia" w:ascii="仿宋" w:hAnsi="仿宋" w:eastAsia="仿宋"/>
          <w:sz w:val="24"/>
          <w:szCs w:val="24"/>
          <w:highlight w:val="none"/>
        </w:rPr>
        <w:t>附件一：供应商关联企业认定</w:t>
      </w:r>
      <w:bookmarkEnd w:id="11"/>
      <w:bookmarkEnd w:id="12"/>
      <w:bookmarkEnd w:id="13"/>
    </w:p>
    <w:p w14:paraId="67A735FB">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一、本规定所称关联企业：企业与其它企业、组织或者个人具有下列关系之一：</w:t>
      </w:r>
    </w:p>
    <w:p w14:paraId="23786712">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（一）单位负责人为同一人。</w:t>
      </w:r>
    </w:p>
    <w:p w14:paraId="5C9AD879">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楷体"/>
          <w:bCs/>
          <w:color w:val="000000"/>
          <w:sz w:val="24"/>
          <w:highlight w:val="none"/>
        </w:rPr>
        <w:t>（二）</w:t>
      </w:r>
      <w:r>
        <w:rPr>
          <w:rFonts w:hint="eastAsia" w:ascii="仿宋" w:hAnsi="仿宋" w:eastAsia="仿宋" w:cs="仿宋"/>
          <w:sz w:val="24"/>
          <w:highlight w:val="none"/>
        </w:rPr>
        <w:t>单位之间存在控股、管理关系，如母子公司。</w:t>
      </w:r>
    </w:p>
    <w:p w14:paraId="17222C2A">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（三）一方直接或间接持有另一方的股份总和达到25%以上，或者双方直接或间接同为第三方所持有的股份达到25%以上。</w:t>
      </w:r>
    </w:p>
    <w:p w14:paraId="2C04B12A">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如果一方通过中间方对另一方间接持有股份，只要一方对中间方持股比例达到25%以上，则一方对另一方的持股比例按照中间方对另一方的持股比例计算。</w:t>
      </w:r>
    </w:p>
    <w:p w14:paraId="50ECAFD9">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（四）双方在实质上具有其他共同利益的如下情形：</w:t>
      </w:r>
    </w:p>
    <w:p w14:paraId="457A0525">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1、双方之间有相同自然人股东的。</w:t>
      </w:r>
    </w:p>
    <w:p w14:paraId="258110F8">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2、双方同时直接持有第三方公司股份的。</w:t>
      </w:r>
    </w:p>
    <w:p w14:paraId="55F3FF5B">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3、一方自然人股东在另一方担任董事、监事或高级管理人员的。</w:t>
      </w:r>
    </w:p>
    <w:p w14:paraId="0C6699BE">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4、双方之间有相同董事、监事或高级管理人员的。</w:t>
      </w:r>
    </w:p>
    <w:p w14:paraId="56F5723F">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以上关系查询，以公共一般可查询方式等网站（如：天眼查、启信宝等）核查工商系统注册登记信息为准。</w:t>
      </w:r>
    </w:p>
    <w:p w14:paraId="26625582">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二、因国家持股或者由国有资产管理部门委派董事、高级管理人员而存在第（三）至第（四）项关系，不构成本规定所称的关联关系。</w:t>
      </w:r>
    </w:p>
    <w:p w14:paraId="37F6E622">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三、本规定所称的单位负责人：主要包括两类人员，一是单位的法定代表人（也称法人代表），即是指依法代表法人单位行使职权的负责人，如国有企业的总经理、公司的董事长、国家机关的最高行政官员等；二是按照法律、行政法规规定代表单位行使职权的负责人，即是指依法代表非法人单位行使职权的负责人，如代表合伙企业执行合伙企业事务的合作人、个人独资企业的投资人等。</w:t>
      </w:r>
    </w:p>
    <w:p w14:paraId="0EED0EAD">
      <w:pPr>
        <w:spacing w:line="360" w:lineRule="auto"/>
        <w:ind w:firstLine="480" w:firstLineChars="200"/>
        <w:rPr>
          <w:rFonts w:ascii="仿宋" w:hAnsi="仿宋" w:eastAsia="仿宋"/>
          <w:kern w:val="0"/>
          <w:sz w:val="24"/>
          <w:highlight w:val="none"/>
        </w:rPr>
      </w:pPr>
      <w:r>
        <w:rPr>
          <w:rFonts w:hint="eastAsia" w:ascii="仿宋" w:hAnsi="仿宋" w:eastAsia="仿宋" w:cs="楷体"/>
          <w:bCs/>
          <w:color w:val="000000"/>
          <w:sz w:val="24"/>
          <w:highlight w:val="none"/>
        </w:rPr>
        <w:t>四、本规定所称的高级管理人员：是指公司的总经理、副总经理、财务负责人、上市公司董事会秘书和公司章程规定的其他人员。</w:t>
      </w:r>
      <w:r>
        <w:rPr>
          <w:rFonts w:ascii="仿宋" w:hAnsi="仿宋" w:eastAsia="仿宋"/>
          <w:sz w:val="24"/>
          <w:highlight w:val="none"/>
        </w:rPr>
        <w:br w:type="page"/>
      </w:r>
    </w:p>
    <w:p w14:paraId="0EFA1A3E">
      <w:pPr>
        <w:pStyle w:val="2"/>
        <w:tabs>
          <w:tab w:val="left" w:pos="3686"/>
        </w:tabs>
        <w:adjustRightInd w:val="0"/>
        <w:snapToGrid w:val="0"/>
        <w:spacing w:before="0" w:after="0" w:line="360" w:lineRule="auto"/>
        <w:jc w:val="center"/>
        <w:rPr>
          <w:rFonts w:eastAsia="仿宋"/>
          <w:sz w:val="28"/>
          <w:highlight w:val="none"/>
        </w:rPr>
      </w:pPr>
      <w:r>
        <w:rPr>
          <w:rFonts w:hint="eastAsia" w:eastAsia="仿宋"/>
          <w:sz w:val="28"/>
          <w:highlight w:val="none"/>
        </w:rPr>
        <w:t>第三卷 响应文件格式</w:t>
      </w:r>
    </w:p>
    <w:p w14:paraId="1BBBDD97">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目录</w:t>
      </w:r>
    </w:p>
    <w:p w14:paraId="05E04C9C">
      <w:pPr>
        <w:adjustRightInd w:val="0"/>
        <w:snapToGrid w:val="0"/>
        <w:spacing w:line="600" w:lineRule="exact"/>
        <w:rPr>
          <w:rFonts w:ascii="仿宋" w:hAnsi="仿宋" w:eastAsia="仿宋"/>
          <w:sz w:val="24"/>
          <w:highlight w:val="none"/>
        </w:rPr>
      </w:pPr>
      <w:r>
        <w:rPr>
          <w:rFonts w:hint="eastAsia" w:ascii="仿宋" w:hAnsi="仿宋" w:eastAsia="仿宋"/>
          <w:sz w:val="24"/>
          <w:highlight w:val="none"/>
        </w:rPr>
        <w:t>一、报价一览表</w:t>
      </w:r>
    </w:p>
    <w:p w14:paraId="7755888B">
      <w:pPr>
        <w:adjustRightInd w:val="0"/>
        <w:snapToGrid w:val="0"/>
        <w:spacing w:line="600" w:lineRule="exact"/>
        <w:rPr>
          <w:rFonts w:ascii="仿宋" w:hAnsi="仿宋" w:eastAsia="仿宋"/>
          <w:sz w:val="24"/>
          <w:highlight w:val="none"/>
        </w:rPr>
      </w:pPr>
      <w:r>
        <w:rPr>
          <w:rFonts w:hint="eastAsia" w:ascii="仿宋" w:hAnsi="仿宋" w:eastAsia="仿宋"/>
          <w:sz w:val="24"/>
          <w:highlight w:val="none"/>
        </w:rPr>
        <w:t>二、报价人资格要求等有关材料</w:t>
      </w:r>
    </w:p>
    <w:p w14:paraId="2F3720AD">
      <w:pPr>
        <w:adjustRightInd w:val="0"/>
        <w:snapToGrid w:val="0"/>
        <w:spacing w:line="600" w:lineRule="exact"/>
        <w:ind w:firstLine="480" w:firstLineChars="200"/>
        <w:rPr>
          <w:rFonts w:ascii="仿宋" w:hAnsi="仿宋" w:eastAsia="仿宋"/>
          <w:sz w:val="24"/>
          <w:highlight w:val="none"/>
        </w:rPr>
        <w:sectPr>
          <w:footerReference r:id="rId3" w:type="default"/>
          <w:pgSz w:w="11906" w:h="16838"/>
          <w:pgMar w:top="1440" w:right="1800" w:bottom="1440" w:left="1800" w:header="851" w:footer="992" w:gutter="0"/>
          <w:cols w:space="425" w:num="1"/>
          <w:docGrid w:type="lines" w:linePitch="312" w:charSpace="0"/>
        </w:sectPr>
      </w:pPr>
    </w:p>
    <w:p w14:paraId="0C55E0BC">
      <w:pPr>
        <w:pStyle w:val="3"/>
        <w:numPr>
          <w:ilvl w:val="0"/>
          <w:numId w:val="8"/>
        </w:numPr>
        <w:adjustRightInd w:val="0"/>
        <w:snapToGrid w:val="0"/>
        <w:spacing w:before="120" w:after="120" w:line="360" w:lineRule="auto"/>
        <w:ind w:left="0" w:firstLine="0"/>
        <w:jc w:val="left"/>
        <w:rPr>
          <w:rFonts w:eastAsia="仿宋"/>
          <w:sz w:val="24"/>
          <w:highlight w:val="none"/>
        </w:rPr>
      </w:pPr>
      <w:r>
        <w:rPr>
          <w:rFonts w:hint="eastAsia" w:eastAsia="仿宋"/>
          <w:sz w:val="24"/>
          <w:highlight w:val="none"/>
        </w:rPr>
        <w:t>报价一览表</w:t>
      </w:r>
    </w:p>
    <w:p w14:paraId="6F51B9CE">
      <w:pPr>
        <w:spacing w:line="360" w:lineRule="auto"/>
        <w:ind w:firstLine="240" w:firstLineChars="100"/>
        <w:rPr>
          <w:rFonts w:ascii="仿宋" w:hAnsi="仿宋" w:eastAsia="仿宋" w:cstheme="minorBidi"/>
          <w:sz w:val="24"/>
          <w:highlight w:val="none"/>
        </w:rPr>
      </w:pPr>
      <w:r>
        <w:rPr>
          <w:rFonts w:hint="eastAsia" w:ascii="仿宋" w:hAnsi="仿宋" w:eastAsia="仿宋" w:cstheme="minorBidi"/>
          <w:sz w:val="24"/>
          <w:szCs w:val="28"/>
          <w:highlight w:val="none"/>
        </w:rPr>
        <w:t>项目名</w:t>
      </w:r>
      <w:r>
        <w:rPr>
          <w:rFonts w:hint="eastAsia" w:ascii="仿宋" w:hAnsi="仿宋" w:eastAsia="仿宋" w:cstheme="minorBidi"/>
          <w:sz w:val="24"/>
          <w:highlight w:val="none"/>
        </w:rPr>
        <w:t>称：</w:t>
      </w:r>
      <w:r>
        <w:rPr>
          <w:rFonts w:hint="eastAsia" w:ascii="仿宋" w:hAnsi="仿宋" w:eastAsia="仿宋"/>
          <w:sz w:val="24"/>
          <w:highlight w:val="none"/>
        </w:rPr>
        <w:t>阜阳华润燃气有限公司涉路安全咨询技术服务项目</w:t>
      </w:r>
    </w:p>
    <w:tbl>
      <w:tblPr>
        <w:tblStyle w:val="10"/>
        <w:tblW w:w="0" w:type="auto"/>
        <w:jc w:val="center"/>
        <w:tblLayout w:type="fixed"/>
        <w:tblCellMar>
          <w:top w:w="0" w:type="dxa"/>
          <w:left w:w="108" w:type="dxa"/>
          <w:bottom w:w="0" w:type="dxa"/>
          <w:right w:w="108" w:type="dxa"/>
        </w:tblCellMar>
      </w:tblPr>
      <w:tblGrid>
        <w:gridCol w:w="721"/>
        <w:gridCol w:w="2327"/>
        <w:gridCol w:w="2327"/>
        <w:gridCol w:w="1703"/>
        <w:gridCol w:w="722"/>
        <w:gridCol w:w="722"/>
      </w:tblGrid>
      <w:tr w14:paraId="0644FC07">
        <w:tblPrEx>
          <w:tblCellMar>
            <w:top w:w="0" w:type="dxa"/>
            <w:left w:w="108" w:type="dxa"/>
            <w:bottom w:w="0" w:type="dxa"/>
            <w:right w:w="108" w:type="dxa"/>
          </w:tblCellMar>
        </w:tblPrEx>
        <w:trPr>
          <w:trHeight w:val="170"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DB53C">
            <w:pPr>
              <w:widowControl/>
              <w:spacing w:line="276" w:lineRule="auto"/>
              <w:jc w:val="center"/>
              <w:rPr>
                <w:rFonts w:hint="eastAsia" w:ascii="仿宋" w:hAnsi="仿宋" w:eastAsia="仿宋" w:cs="宋体"/>
                <w:b/>
                <w:kern w:val="0"/>
                <w:sz w:val="24"/>
                <w:highlight w:val="none"/>
              </w:rPr>
            </w:pPr>
            <w:r>
              <w:rPr>
                <w:rFonts w:hint="eastAsia" w:ascii="仿宋" w:hAnsi="仿宋" w:eastAsia="仿宋" w:cs="宋体"/>
                <w:b/>
                <w:kern w:val="0"/>
                <w:sz w:val="24"/>
                <w:highlight w:val="none"/>
              </w:rPr>
              <w:t>序号</w:t>
            </w:r>
          </w:p>
        </w:tc>
        <w:tc>
          <w:tcPr>
            <w:tcW w:w="4654" w:type="dxa"/>
            <w:gridSpan w:val="2"/>
            <w:tcBorders>
              <w:top w:val="single" w:color="auto" w:sz="4" w:space="0"/>
              <w:left w:val="nil"/>
              <w:bottom w:val="single" w:color="auto" w:sz="4" w:space="0"/>
              <w:right w:val="single" w:color="auto" w:sz="4" w:space="0"/>
            </w:tcBorders>
            <w:shd w:val="clear" w:color="auto" w:fill="auto"/>
            <w:noWrap/>
            <w:vAlign w:val="center"/>
          </w:tcPr>
          <w:p w14:paraId="3A3DECAF">
            <w:pPr>
              <w:widowControl/>
              <w:spacing w:line="276" w:lineRule="auto"/>
              <w:jc w:val="center"/>
              <w:rPr>
                <w:rFonts w:hint="eastAsia" w:ascii="仿宋" w:hAnsi="仿宋" w:eastAsia="仿宋" w:cs="宋体"/>
                <w:b/>
                <w:kern w:val="0"/>
                <w:sz w:val="24"/>
                <w:highlight w:val="none"/>
              </w:rPr>
            </w:pPr>
            <w:r>
              <w:rPr>
                <w:rFonts w:hint="eastAsia" w:ascii="仿宋" w:hAnsi="仿宋" w:eastAsia="仿宋" w:cs="宋体"/>
                <w:b/>
                <w:kern w:val="0"/>
                <w:sz w:val="24"/>
                <w:highlight w:val="none"/>
              </w:rPr>
              <w:t>项目/产品名称</w:t>
            </w:r>
          </w:p>
        </w:tc>
        <w:tc>
          <w:tcPr>
            <w:tcW w:w="1703" w:type="dxa"/>
            <w:tcBorders>
              <w:top w:val="single" w:color="auto" w:sz="4" w:space="0"/>
              <w:left w:val="nil"/>
              <w:bottom w:val="single" w:color="auto" w:sz="4" w:space="0"/>
              <w:right w:val="single" w:color="auto" w:sz="4" w:space="0"/>
            </w:tcBorders>
            <w:shd w:val="clear" w:color="auto" w:fill="auto"/>
            <w:noWrap/>
            <w:vAlign w:val="center"/>
          </w:tcPr>
          <w:p w14:paraId="74ADC4EC">
            <w:pPr>
              <w:widowControl/>
              <w:spacing w:line="276" w:lineRule="auto"/>
              <w:jc w:val="center"/>
              <w:rPr>
                <w:rFonts w:hint="eastAsia" w:ascii="仿宋" w:hAnsi="仿宋" w:eastAsia="仿宋" w:cs="宋体"/>
                <w:b/>
                <w:kern w:val="0"/>
                <w:sz w:val="24"/>
                <w:highlight w:val="none"/>
              </w:rPr>
            </w:pPr>
            <w:r>
              <w:rPr>
                <w:rFonts w:hint="eastAsia" w:ascii="仿宋" w:hAnsi="仿宋" w:eastAsia="仿宋" w:cs="宋体"/>
                <w:b/>
                <w:kern w:val="0"/>
                <w:sz w:val="24"/>
                <w:highlight w:val="none"/>
              </w:rPr>
              <w:t>单价含税（元）</w:t>
            </w: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87949">
            <w:pPr>
              <w:widowControl/>
              <w:spacing w:line="276" w:lineRule="auto"/>
              <w:jc w:val="center"/>
              <w:rPr>
                <w:rFonts w:hint="eastAsia" w:ascii="仿宋" w:hAnsi="仿宋" w:eastAsia="仿宋" w:cs="宋体"/>
                <w:b/>
                <w:kern w:val="0"/>
                <w:sz w:val="24"/>
                <w:highlight w:val="none"/>
              </w:rPr>
            </w:pPr>
            <w:r>
              <w:rPr>
                <w:rFonts w:hint="eastAsia" w:ascii="仿宋" w:hAnsi="仿宋" w:eastAsia="仿宋" w:cs="宋体"/>
                <w:b/>
                <w:kern w:val="0"/>
                <w:sz w:val="24"/>
                <w:highlight w:val="none"/>
              </w:rPr>
              <w:t>小计</w:t>
            </w: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1C08F">
            <w:pPr>
              <w:widowControl/>
              <w:spacing w:line="276" w:lineRule="auto"/>
              <w:jc w:val="center"/>
              <w:rPr>
                <w:rFonts w:hint="eastAsia" w:ascii="仿宋" w:hAnsi="仿宋" w:eastAsia="仿宋" w:cs="宋体"/>
                <w:b/>
                <w:kern w:val="0"/>
                <w:sz w:val="24"/>
                <w:highlight w:val="none"/>
              </w:rPr>
            </w:pPr>
            <w:r>
              <w:rPr>
                <w:rFonts w:hint="eastAsia" w:ascii="仿宋" w:hAnsi="仿宋" w:eastAsia="仿宋" w:cs="宋体"/>
                <w:b/>
                <w:kern w:val="0"/>
                <w:sz w:val="24"/>
                <w:highlight w:val="none"/>
              </w:rPr>
              <w:t>备注</w:t>
            </w:r>
          </w:p>
        </w:tc>
      </w:tr>
      <w:tr w14:paraId="63D4ABAB">
        <w:tblPrEx>
          <w:tblCellMar>
            <w:top w:w="0" w:type="dxa"/>
            <w:left w:w="108" w:type="dxa"/>
            <w:bottom w:w="0" w:type="dxa"/>
            <w:right w:w="108" w:type="dxa"/>
          </w:tblCellMar>
        </w:tblPrEx>
        <w:trPr>
          <w:trHeight w:val="170"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5565C">
            <w:pPr>
              <w:widowControl/>
              <w:spacing w:line="276"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1</w:t>
            </w:r>
          </w:p>
        </w:tc>
        <w:tc>
          <w:tcPr>
            <w:tcW w:w="4654" w:type="dxa"/>
            <w:gridSpan w:val="2"/>
            <w:tcBorders>
              <w:top w:val="single" w:color="auto" w:sz="4" w:space="0"/>
              <w:left w:val="nil"/>
              <w:right w:val="single" w:color="auto" w:sz="4" w:space="0"/>
            </w:tcBorders>
            <w:shd w:val="clear" w:color="auto" w:fill="auto"/>
            <w:noWrap/>
            <w:vAlign w:val="center"/>
          </w:tcPr>
          <w:p w14:paraId="0B917AB4">
            <w:pPr>
              <w:widowControl/>
              <w:spacing w:line="276" w:lineRule="auto"/>
              <w:jc w:val="center"/>
              <w:textAlignment w:val="center"/>
              <w:rPr>
                <w:rFonts w:hint="eastAsia" w:ascii="仿宋" w:hAnsi="仿宋" w:eastAsia="仿宋" w:cs="宋体"/>
                <w:kern w:val="0"/>
                <w:sz w:val="24"/>
                <w:highlight w:val="none"/>
              </w:rPr>
            </w:pPr>
            <w:r>
              <w:rPr>
                <w:rFonts w:hint="eastAsia" w:ascii="仿宋" w:hAnsi="仿宋" w:eastAsia="仿宋"/>
                <w:sz w:val="24"/>
                <w:highlight w:val="none"/>
              </w:rPr>
              <w:t>阜阳华润燃气有限公司涉路安全评价报告</w:t>
            </w:r>
          </w:p>
        </w:tc>
        <w:tc>
          <w:tcPr>
            <w:tcW w:w="1703" w:type="dxa"/>
            <w:tcBorders>
              <w:top w:val="single" w:color="auto" w:sz="4" w:space="0"/>
              <w:left w:val="nil"/>
              <w:bottom w:val="single" w:color="auto" w:sz="4" w:space="0"/>
              <w:right w:val="single" w:color="auto" w:sz="4" w:space="0"/>
            </w:tcBorders>
            <w:shd w:val="clear" w:color="auto" w:fill="auto"/>
            <w:noWrap/>
            <w:vAlign w:val="center"/>
          </w:tcPr>
          <w:p w14:paraId="671D12B8">
            <w:pPr>
              <w:widowControl/>
              <w:spacing w:line="276" w:lineRule="auto"/>
              <w:jc w:val="center"/>
              <w:rPr>
                <w:rFonts w:hint="eastAsia" w:ascii="仿宋" w:hAnsi="仿宋" w:eastAsia="仿宋" w:cs="宋体"/>
                <w:kern w:val="0"/>
                <w:sz w:val="24"/>
                <w:highlight w:val="none"/>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41A0C">
            <w:pPr>
              <w:widowControl/>
              <w:spacing w:line="276" w:lineRule="auto"/>
              <w:jc w:val="center"/>
              <w:rPr>
                <w:rFonts w:hint="eastAsia" w:ascii="仿宋" w:hAnsi="仿宋" w:eastAsia="仿宋" w:cs="宋体"/>
                <w:kern w:val="0"/>
                <w:sz w:val="24"/>
                <w:highlight w:val="none"/>
              </w:rPr>
            </w:pPr>
          </w:p>
        </w:tc>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82C34">
            <w:pPr>
              <w:widowControl/>
              <w:spacing w:line="276" w:lineRule="auto"/>
              <w:jc w:val="center"/>
              <w:rPr>
                <w:rFonts w:hint="eastAsia" w:ascii="仿宋" w:hAnsi="仿宋" w:eastAsia="仿宋" w:cs="宋体"/>
                <w:kern w:val="0"/>
                <w:sz w:val="24"/>
                <w:highlight w:val="none"/>
              </w:rPr>
            </w:pPr>
          </w:p>
        </w:tc>
      </w:tr>
      <w:tr w14:paraId="1E6C7C59">
        <w:tblPrEx>
          <w:tblCellMar>
            <w:top w:w="0" w:type="dxa"/>
            <w:left w:w="108" w:type="dxa"/>
            <w:bottom w:w="0" w:type="dxa"/>
            <w:right w:w="108" w:type="dxa"/>
          </w:tblCellMar>
        </w:tblPrEx>
        <w:trPr>
          <w:trHeight w:val="170" w:hRule="atLeast"/>
          <w:jc w:val="center"/>
        </w:trPr>
        <w:tc>
          <w:tcPr>
            <w:tcW w:w="30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6BFFB9">
            <w:pPr>
              <w:widowControl/>
              <w:spacing w:line="276"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增值税税率</w:t>
            </w:r>
          </w:p>
        </w:tc>
        <w:tc>
          <w:tcPr>
            <w:tcW w:w="5474" w:type="dxa"/>
            <w:gridSpan w:val="4"/>
            <w:tcBorders>
              <w:top w:val="single" w:color="auto" w:sz="4" w:space="0"/>
              <w:left w:val="nil"/>
              <w:bottom w:val="single" w:color="auto" w:sz="4" w:space="0"/>
              <w:right w:val="single" w:color="auto" w:sz="4" w:space="0"/>
            </w:tcBorders>
            <w:shd w:val="clear" w:color="auto" w:fill="auto"/>
            <w:vAlign w:val="center"/>
          </w:tcPr>
          <w:p w14:paraId="063E4868">
            <w:pPr>
              <w:widowControl/>
              <w:spacing w:line="276" w:lineRule="auto"/>
              <w:jc w:val="center"/>
              <w:rPr>
                <w:rFonts w:hint="eastAsia" w:ascii="仿宋" w:hAnsi="仿宋" w:eastAsia="仿宋" w:cs="宋体"/>
                <w:kern w:val="0"/>
                <w:sz w:val="24"/>
                <w:highlight w:val="none"/>
              </w:rPr>
            </w:pPr>
          </w:p>
        </w:tc>
      </w:tr>
      <w:tr w14:paraId="004B5FE7">
        <w:tblPrEx>
          <w:tblCellMar>
            <w:top w:w="0" w:type="dxa"/>
            <w:left w:w="108" w:type="dxa"/>
            <w:bottom w:w="0" w:type="dxa"/>
            <w:right w:w="108" w:type="dxa"/>
          </w:tblCellMar>
        </w:tblPrEx>
        <w:trPr>
          <w:trHeight w:val="170" w:hRule="atLeast"/>
          <w:jc w:val="center"/>
        </w:trPr>
        <w:tc>
          <w:tcPr>
            <w:tcW w:w="30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EB2F82">
            <w:pPr>
              <w:widowControl/>
              <w:spacing w:line="276" w:lineRule="auto"/>
              <w:jc w:val="center"/>
              <w:rPr>
                <w:rFonts w:hint="eastAsia" w:ascii="仿宋" w:hAnsi="仿宋" w:eastAsia="仿宋" w:cs="宋体"/>
                <w:kern w:val="0"/>
                <w:sz w:val="24"/>
                <w:highlight w:val="none"/>
              </w:rPr>
            </w:pPr>
            <w:r>
              <w:rPr>
                <w:rFonts w:hint="eastAsia" w:ascii="仿宋" w:hAnsi="仿宋" w:eastAsia="仿宋" w:cs="宋体"/>
                <w:kern w:val="0"/>
                <w:sz w:val="24"/>
                <w:highlight w:val="none"/>
              </w:rPr>
              <w:t>含税合计金额</w:t>
            </w:r>
          </w:p>
        </w:tc>
        <w:tc>
          <w:tcPr>
            <w:tcW w:w="5474" w:type="dxa"/>
            <w:gridSpan w:val="4"/>
            <w:tcBorders>
              <w:top w:val="single" w:color="auto" w:sz="4" w:space="0"/>
              <w:left w:val="nil"/>
              <w:bottom w:val="single" w:color="auto" w:sz="4" w:space="0"/>
              <w:right w:val="single" w:color="auto" w:sz="4" w:space="0"/>
            </w:tcBorders>
            <w:shd w:val="clear" w:color="auto" w:fill="auto"/>
            <w:vAlign w:val="center"/>
          </w:tcPr>
          <w:p w14:paraId="538A6B83">
            <w:pPr>
              <w:widowControl/>
              <w:spacing w:line="276" w:lineRule="auto"/>
              <w:jc w:val="center"/>
              <w:rPr>
                <w:rFonts w:hint="eastAsia" w:ascii="仿宋" w:hAnsi="仿宋" w:eastAsia="仿宋" w:cs="宋体"/>
                <w:kern w:val="0"/>
                <w:sz w:val="24"/>
                <w:highlight w:val="none"/>
              </w:rPr>
            </w:pPr>
          </w:p>
        </w:tc>
      </w:tr>
      <w:tr w14:paraId="3843F405">
        <w:tblPrEx>
          <w:tblCellMar>
            <w:top w:w="0" w:type="dxa"/>
            <w:left w:w="108" w:type="dxa"/>
            <w:bottom w:w="0" w:type="dxa"/>
            <w:right w:w="108" w:type="dxa"/>
          </w:tblCellMar>
        </w:tblPrEx>
        <w:trPr>
          <w:trHeight w:val="170" w:hRule="atLeast"/>
          <w:jc w:val="center"/>
        </w:trPr>
        <w:tc>
          <w:tcPr>
            <w:tcW w:w="852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6AAD631">
            <w:pPr>
              <w:widowControl/>
              <w:spacing w:line="276" w:lineRule="auto"/>
              <w:rPr>
                <w:rFonts w:hint="eastAsia" w:ascii="仿宋" w:hAnsi="仿宋" w:eastAsia="仿宋" w:cs="宋体"/>
                <w:kern w:val="0"/>
                <w:sz w:val="24"/>
                <w:highlight w:val="none"/>
              </w:rPr>
            </w:pPr>
            <w:r>
              <w:rPr>
                <w:rFonts w:hint="eastAsia" w:ascii="仿宋" w:hAnsi="仿宋" w:eastAsia="仿宋" w:cs="宋体"/>
                <w:kern w:val="0"/>
                <w:sz w:val="24"/>
                <w:highlight w:val="none"/>
              </w:rPr>
              <w:t>备注：</w:t>
            </w:r>
          </w:p>
          <w:p w14:paraId="42E7F543">
            <w:pPr>
              <w:widowControl/>
              <w:spacing w:line="276" w:lineRule="auto"/>
              <w:rPr>
                <w:rFonts w:hint="eastAsia" w:ascii="仿宋" w:hAnsi="仿宋" w:eastAsia="仿宋" w:cs="宋体"/>
                <w:kern w:val="0"/>
                <w:sz w:val="24"/>
                <w:highlight w:val="none"/>
              </w:rPr>
            </w:pPr>
            <w:r>
              <w:rPr>
                <w:rFonts w:hint="eastAsia" w:ascii="仿宋" w:hAnsi="仿宋" w:eastAsia="仿宋" w:cs="宋体"/>
                <w:kern w:val="0"/>
                <w:sz w:val="24"/>
                <w:highlight w:val="none"/>
              </w:rPr>
              <w:t>1.</w:t>
            </w:r>
            <w:r>
              <w:rPr>
                <w:rFonts w:ascii="仿宋" w:hAnsi="仿宋" w:eastAsia="仿宋" w:cstheme="minorBidi"/>
                <w:kern w:val="0"/>
                <w:sz w:val="24"/>
                <w:szCs w:val="22"/>
                <w:highlight w:val="none"/>
              </w:rPr>
              <w:t>该报价包含增值税专用发票（税率</w:t>
            </w:r>
            <w:r>
              <w:rPr>
                <w:rFonts w:hint="eastAsia" w:ascii="仿宋" w:hAnsi="仿宋" w:eastAsia="仿宋" w:cstheme="minorBidi"/>
                <w:kern w:val="0"/>
                <w:sz w:val="24"/>
                <w:szCs w:val="22"/>
                <w:highlight w:val="none"/>
              </w:rPr>
              <w:t>6</w:t>
            </w:r>
            <w:r>
              <w:rPr>
                <w:rFonts w:ascii="仿宋" w:hAnsi="仿宋" w:eastAsia="仿宋" w:cstheme="minorBidi"/>
                <w:kern w:val="0"/>
                <w:sz w:val="24"/>
                <w:szCs w:val="22"/>
                <w:highlight w:val="none"/>
              </w:rPr>
              <w:t>%</w:t>
            </w:r>
            <w:r>
              <w:rPr>
                <w:rFonts w:hint="eastAsia" w:ascii="仿宋" w:hAnsi="仿宋" w:eastAsia="仿宋" w:cstheme="minorBidi"/>
                <w:kern w:val="0"/>
                <w:sz w:val="24"/>
                <w:szCs w:val="22"/>
                <w:highlight w:val="none"/>
              </w:rPr>
              <w:t>，</w:t>
            </w:r>
            <w:r>
              <w:rPr>
                <w:rFonts w:hint="eastAsia" w:ascii="仿宋" w:hAnsi="仿宋" w:eastAsia="仿宋" w:cstheme="minorBidi"/>
                <w:kern w:val="0"/>
                <w:sz w:val="24"/>
                <w:szCs w:val="22"/>
                <w:highlight w:val="none"/>
              </w:rPr>
              <w:t>如国家调整税率则做相应税额调整</w:t>
            </w:r>
            <w:r>
              <w:rPr>
                <w:rFonts w:ascii="仿宋" w:hAnsi="仿宋" w:eastAsia="仿宋" w:cstheme="minorBidi"/>
                <w:kern w:val="0"/>
                <w:sz w:val="24"/>
                <w:szCs w:val="22"/>
                <w:highlight w:val="none"/>
              </w:rPr>
              <w:t>）</w:t>
            </w:r>
            <w:r>
              <w:rPr>
                <w:rFonts w:hint="eastAsia" w:ascii="仿宋" w:hAnsi="仿宋" w:eastAsia="仿宋" w:cstheme="minorBidi"/>
                <w:kern w:val="0"/>
                <w:sz w:val="24"/>
                <w:szCs w:val="22"/>
                <w:highlight w:val="none"/>
              </w:rPr>
              <w:t>、</w:t>
            </w:r>
            <w:r>
              <w:rPr>
                <w:rFonts w:hint="eastAsia" w:ascii="仿宋" w:hAnsi="仿宋" w:eastAsia="仿宋"/>
                <w:sz w:val="24"/>
                <w:highlight w:val="none"/>
              </w:rPr>
              <w:t>包含但不限于涉路安评报告、评审及地勘测绘</w:t>
            </w:r>
            <w:r>
              <w:rPr>
                <w:rFonts w:ascii="仿宋" w:hAnsi="仿宋" w:eastAsia="仿宋" w:cstheme="minorBidi"/>
                <w:kern w:val="0"/>
                <w:sz w:val="24"/>
                <w:szCs w:val="22"/>
                <w:highlight w:val="none"/>
              </w:rPr>
              <w:t>等</w:t>
            </w:r>
            <w:r>
              <w:rPr>
                <w:rFonts w:ascii="仿宋" w:hAnsi="仿宋" w:eastAsia="仿宋" w:cstheme="minorBidi"/>
                <w:kern w:val="0"/>
                <w:sz w:val="24"/>
                <w:szCs w:val="22"/>
                <w:highlight w:val="none"/>
              </w:rPr>
              <w:t>所有附加服务费用</w:t>
            </w:r>
            <w:r>
              <w:rPr>
                <w:rFonts w:hint="eastAsia" w:ascii="仿宋" w:hAnsi="仿宋" w:eastAsia="仿宋" w:cstheme="minorBidi"/>
                <w:kern w:val="0"/>
                <w:sz w:val="24"/>
                <w:szCs w:val="22"/>
                <w:highlight w:val="none"/>
              </w:rPr>
              <w:t>。</w:t>
            </w:r>
          </w:p>
          <w:p w14:paraId="6A00B59B">
            <w:pPr>
              <w:widowControl/>
              <w:spacing w:line="276" w:lineRule="auto"/>
              <w:rPr>
                <w:rFonts w:hint="eastAsia" w:ascii="仿宋" w:hAnsi="仿宋" w:eastAsia="仿宋"/>
                <w:sz w:val="24"/>
                <w:highlight w:val="none"/>
                <w:lang w:val="en-GB"/>
              </w:rPr>
            </w:pPr>
            <w:r>
              <w:rPr>
                <w:rFonts w:hint="eastAsia" w:ascii="仿宋" w:hAnsi="仿宋" w:eastAsia="仿宋"/>
                <w:kern w:val="0"/>
                <w:sz w:val="24"/>
                <w:highlight w:val="none"/>
              </w:rPr>
              <w:t>2.</w:t>
            </w:r>
            <w:r>
              <w:rPr>
                <w:rFonts w:hint="eastAsia" w:ascii="仿宋" w:hAnsi="仿宋" w:eastAsia="仿宋"/>
                <w:sz w:val="24"/>
                <w:highlight w:val="none"/>
                <w:lang w:val="en-GB"/>
              </w:rPr>
              <w:t xml:space="preserve"> </w:t>
            </w:r>
          </w:p>
        </w:tc>
      </w:tr>
    </w:tbl>
    <w:p w14:paraId="336B2C4A">
      <w:pPr>
        <w:rPr>
          <w:rFonts w:ascii="仿宋" w:hAnsi="仿宋" w:eastAsia="仿宋"/>
          <w:sz w:val="24"/>
          <w:szCs w:val="28"/>
          <w:highlight w:val="none"/>
        </w:rPr>
      </w:pPr>
    </w:p>
    <w:p w14:paraId="1651C375">
      <w:pPr>
        <w:rPr>
          <w:rFonts w:ascii="仿宋" w:hAnsi="仿宋" w:eastAsia="仿宋"/>
          <w:sz w:val="24"/>
          <w:szCs w:val="28"/>
          <w:highlight w:val="none"/>
        </w:rPr>
      </w:pPr>
    </w:p>
    <w:p w14:paraId="1F6792EC">
      <w:pPr>
        <w:tabs>
          <w:tab w:val="left" w:pos="720"/>
          <w:tab w:val="left" w:pos="900"/>
        </w:tabs>
        <w:spacing w:line="360" w:lineRule="auto"/>
        <w:jc w:val="right"/>
        <w:rPr>
          <w:rFonts w:ascii="仿宋" w:hAnsi="仿宋" w:eastAsia="仿宋" w:cstheme="minorBidi"/>
          <w:sz w:val="24"/>
          <w:szCs w:val="22"/>
          <w:highlight w:val="none"/>
          <w:u w:val="single"/>
        </w:rPr>
      </w:pPr>
      <w:r>
        <w:rPr>
          <w:rFonts w:hint="eastAsia" w:ascii="仿宋" w:hAnsi="仿宋" w:eastAsia="仿宋" w:cstheme="minorBidi"/>
          <w:sz w:val="24"/>
          <w:szCs w:val="22"/>
          <w:highlight w:val="none"/>
        </w:rPr>
        <w:t>响应供应商：</w:t>
      </w:r>
      <w:r>
        <w:rPr>
          <w:rFonts w:hint="eastAsia" w:ascii="仿宋" w:hAnsi="仿宋" w:eastAsia="仿宋" w:cstheme="minorBidi"/>
          <w:sz w:val="24"/>
          <w:szCs w:val="22"/>
          <w:highlight w:val="none"/>
          <w:u w:val="single"/>
        </w:rPr>
        <w:t xml:space="preserve">        （盖单位公章）</w:t>
      </w:r>
    </w:p>
    <w:p w14:paraId="367E6A06">
      <w:pPr>
        <w:tabs>
          <w:tab w:val="left" w:pos="720"/>
          <w:tab w:val="left" w:pos="900"/>
        </w:tabs>
        <w:spacing w:line="360" w:lineRule="auto"/>
        <w:jc w:val="right"/>
        <w:rPr>
          <w:rFonts w:ascii="仿宋" w:hAnsi="仿宋" w:eastAsia="仿宋" w:cstheme="minorBidi"/>
          <w:sz w:val="24"/>
          <w:szCs w:val="22"/>
          <w:highlight w:val="none"/>
          <w:u w:val="single"/>
        </w:rPr>
      </w:pPr>
      <w:r>
        <w:rPr>
          <w:rFonts w:hint="eastAsia" w:ascii="仿宋" w:hAnsi="仿宋" w:eastAsia="仿宋" w:cstheme="minorBidi"/>
          <w:sz w:val="24"/>
          <w:highlight w:val="none"/>
        </w:rPr>
        <w:t>法定代表人（或授权代表）：</w:t>
      </w:r>
      <w:r>
        <w:rPr>
          <w:rFonts w:hint="eastAsia" w:ascii="仿宋" w:hAnsi="仿宋" w:eastAsia="仿宋" w:cstheme="minorBidi"/>
          <w:sz w:val="24"/>
          <w:highlight w:val="none"/>
          <w:u w:val="single"/>
        </w:rPr>
        <w:t>（盖章或签字</w:t>
      </w:r>
      <w:r>
        <w:rPr>
          <w:rFonts w:hint="eastAsia" w:ascii="仿宋" w:hAnsi="仿宋" w:eastAsia="仿宋" w:cstheme="minorBidi"/>
          <w:sz w:val="24"/>
          <w:highlight w:val="none"/>
        </w:rPr>
        <w:t>）</w:t>
      </w:r>
    </w:p>
    <w:p w14:paraId="72F7F8F9">
      <w:pPr>
        <w:tabs>
          <w:tab w:val="left" w:pos="720"/>
          <w:tab w:val="left" w:pos="900"/>
        </w:tabs>
        <w:spacing w:line="360" w:lineRule="auto"/>
        <w:jc w:val="right"/>
        <w:rPr>
          <w:rFonts w:ascii="仿宋" w:hAnsi="仿宋" w:eastAsia="仿宋" w:cstheme="minorBidi"/>
          <w:sz w:val="24"/>
          <w:szCs w:val="22"/>
          <w:highlight w:val="none"/>
        </w:rPr>
      </w:pPr>
      <w:r>
        <w:rPr>
          <w:rFonts w:hint="eastAsia" w:ascii="仿宋" w:hAnsi="仿宋" w:eastAsia="仿宋" w:cstheme="minorBidi"/>
          <w:sz w:val="24"/>
          <w:szCs w:val="22"/>
          <w:highlight w:val="none"/>
        </w:rPr>
        <w:t>日    期：</w:t>
      </w:r>
      <w:r>
        <w:rPr>
          <w:rFonts w:hint="eastAsia" w:ascii="仿宋" w:hAnsi="仿宋" w:eastAsia="仿宋" w:cstheme="minorBidi"/>
          <w:sz w:val="24"/>
          <w:szCs w:val="22"/>
          <w:highlight w:val="none"/>
          <w:u w:val="single"/>
        </w:rPr>
        <w:t xml:space="preserve">      </w:t>
      </w:r>
      <w:r>
        <w:rPr>
          <w:rFonts w:hint="eastAsia" w:ascii="仿宋" w:hAnsi="仿宋" w:eastAsia="仿宋" w:cstheme="minorBidi"/>
          <w:sz w:val="24"/>
          <w:szCs w:val="22"/>
          <w:highlight w:val="none"/>
        </w:rPr>
        <w:t>年</w:t>
      </w:r>
      <w:r>
        <w:rPr>
          <w:rFonts w:hint="eastAsia" w:ascii="仿宋" w:hAnsi="仿宋" w:eastAsia="仿宋" w:cstheme="minorBidi"/>
          <w:sz w:val="24"/>
          <w:szCs w:val="22"/>
          <w:highlight w:val="none"/>
          <w:u w:val="single"/>
        </w:rPr>
        <w:t xml:space="preserve">     </w:t>
      </w:r>
      <w:r>
        <w:rPr>
          <w:rFonts w:hint="eastAsia" w:ascii="仿宋" w:hAnsi="仿宋" w:eastAsia="仿宋" w:cstheme="minorBidi"/>
          <w:sz w:val="24"/>
          <w:szCs w:val="22"/>
          <w:highlight w:val="none"/>
        </w:rPr>
        <w:t>月</w:t>
      </w:r>
      <w:r>
        <w:rPr>
          <w:rFonts w:hint="eastAsia" w:ascii="仿宋" w:hAnsi="仿宋" w:eastAsia="仿宋" w:cstheme="minorBidi"/>
          <w:sz w:val="24"/>
          <w:szCs w:val="22"/>
          <w:highlight w:val="none"/>
          <w:u w:val="single"/>
        </w:rPr>
        <w:t xml:space="preserve">     </w:t>
      </w:r>
      <w:r>
        <w:rPr>
          <w:rFonts w:hint="eastAsia" w:ascii="仿宋" w:hAnsi="仿宋" w:eastAsia="仿宋" w:cstheme="minorBidi"/>
          <w:sz w:val="24"/>
          <w:szCs w:val="22"/>
          <w:highlight w:val="none"/>
        </w:rPr>
        <w:t>日</w:t>
      </w:r>
    </w:p>
    <w:p w14:paraId="7FB5766D">
      <w:pPr>
        <w:tabs>
          <w:tab w:val="left" w:pos="720"/>
          <w:tab w:val="left" w:pos="900"/>
        </w:tabs>
        <w:spacing w:line="360" w:lineRule="auto"/>
        <w:jc w:val="right"/>
        <w:rPr>
          <w:rFonts w:ascii="仿宋" w:hAnsi="仿宋" w:eastAsia="仿宋"/>
          <w:sz w:val="24"/>
          <w:highlight w:val="none"/>
        </w:rPr>
      </w:pPr>
    </w:p>
    <w:p w14:paraId="28767BE6">
      <w:pPr>
        <w:rPr>
          <w:rFonts w:ascii="仿宋" w:hAnsi="仿宋" w:eastAsia="仿宋"/>
          <w:sz w:val="24"/>
          <w:highlight w:val="none"/>
        </w:rPr>
      </w:pPr>
      <w:r>
        <w:rPr>
          <w:rFonts w:ascii="仿宋" w:hAnsi="仿宋" w:eastAsia="仿宋"/>
          <w:sz w:val="24"/>
          <w:highlight w:val="none"/>
        </w:rPr>
        <w:br w:type="page"/>
      </w:r>
    </w:p>
    <w:p w14:paraId="09EA269F">
      <w:pPr>
        <w:pStyle w:val="3"/>
        <w:numPr>
          <w:ilvl w:val="0"/>
          <w:numId w:val="8"/>
        </w:numPr>
        <w:adjustRightInd w:val="0"/>
        <w:snapToGrid w:val="0"/>
        <w:spacing w:before="120" w:after="120" w:line="360" w:lineRule="auto"/>
        <w:ind w:left="0" w:firstLine="0"/>
        <w:jc w:val="left"/>
        <w:rPr>
          <w:rFonts w:eastAsia="仿宋"/>
          <w:sz w:val="24"/>
          <w:highlight w:val="none"/>
        </w:rPr>
      </w:pPr>
      <w:r>
        <w:rPr>
          <w:rFonts w:hint="eastAsia" w:eastAsia="仿宋"/>
          <w:sz w:val="24"/>
          <w:highlight w:val="none"/>
        </w:rPr>
        <w:t>响应供应商资格要求等有关材料</w:t>
      </w:r>
    </w:p>
    <w:p w14:paraId="021B9CD2">
      <w:pPr>
        <w:spacing w:line="360" w:lineRule="auto"/>
        <w:ind w:firstLine="480" w:firstLineChars="200"/>
        <w:rPr>
          <w:rFonts w:ascii="仿宋" w:hAnsi="仿宋" w:eastAsia="仿宋"/>
          <w:sz w:val="24"/>
          <w:highlight w:val="none"/>
        </w:rPr>
      </w:pPr>
      <w:bookmarkStart w:id="14" w:name="OLE_LINK17"/>
      <w:bookmarkStart w:id="15" w:name="OLE_LINK16"/>
      <w:bookmarkStart w:id="16" w:name="OLE_LINK18"/>
      <w:r>
        <w:rPr>
          <w:rFonts w:hint="eastAsia" w:ascii="仿宋" w:hAnsi="仿宋" w:eastAsia="仿宋"/>
          <w:sz w:val="24"/>
          <w:highlight w:val="none"/>
        </w:rPr>
        <w:t>1</w:t>
      </w:r>
      <w:bookmarkStart w:id="17" w:name="OLE_LINK29"/>
      <w:bookmarkStart w:id="18" w:name="OLE_LINK28"/>
      <w:r>
        <w:rPr>
          <w:rFonts w:hint="eastAsia" w:ascii="仿宋" w:hAnsi="仿宋" w:eastAsia="仿宋"/>
          <w:sz w:val="24"/>
          <w:highlight w:val="none"/>
        </w:rPr>
        <w:t>.资格要求响应扫描件</w:t>
      </w:r>
      <w:bookmarkEnd w:id="17"/>
      <w:bookmarkEnd w:id="18"/>
      <w:r>
        <w:rPr>
          <w:rFonts w:hint="eastAsia" w:ascii="仿宋" w:hAnsi="仿宋" w:eastAsia="仿宋"/>
          <w:sz w:val="24"/>
          <w:highlight w:val="none"/>
        </w:rPr>
        <w:t>。</w:t>
      </w:r>
    </w:p>
    <w:p w14:paraId="52485C8F">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2.排名前五的股东名称。</w:t>
      </w:r>
    </w:p>
    <w:tbl>
      <w:tblPr>
        <w:tblStyle w:val="10"/>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6453"/>
      </w:tblGrid>
      <w:tr w14:paraId="170F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32D60928">
            <w:pPr>
              <w:pStyle w:val="28"/>
              <w:jc w:val="center"/>
              <w:rPr>
                <w:rFonts w:ascii="仿宋" w:hAnsi="仿宋" w:eastAsia="仿宋" w:cstheme="minorBidi"/>
                <w:kern w:val="2"/>
                <w:highlight w:val="none"/>
              </w:rPr>
            </w:pPr>
            <w:r>
              <w:rPr>
                <w:rFonts w:hint="eastAsia" w:ascii="仿宋" w:hAnsi="仿宋" w:eastAsia="仿宋" w:cstheme="minorBidi"/>
                <w:kern w:val="2"/>
                <w:highlight w:val="none"/>
              </w:rPr>
              <w:t>序号</w:t>
            </w:r>
          </w:p>
        </w:tc>
        <w:tc>
          <w:tcPr>
            <w:tcW w:w="6454" w:type="dxa"/>
            <w:tcBorders>
              <w:top w:val="single" w:color="auto" w:sz="4" w:space="0"/>
              <w:left w:val="nil"/>
              <w:bottom w:val="single" w:color="auto" w:sz="4" w:space="0"/>
              <w:right w:val="single" w:color="auto" w:sz="4" w:space="0"/>
            </w:tcBorders>
            <w:vAlign w:val="center"/>
          </w:tcPr>
          <w:p w14:paraId="23E7099E">
            <w:pPr>
              <w:pStyle w:val="28"/>
              <w:ind w:firstLine="480"/>
              <w:jc w:val="center"/>
              <w:rPr>
                <w:rFonts w:ascii="仿宋" w:hAnsi="仿宋" w:eastAsia="仿宋" w:cstheme="minorBidi"/>
                <w:kern w:val="2"/>
                <w:highlight w:val="none"/>
              </w:rPr>
            </w:pPr>
            <w:r>
              <w:rPr>
                <w:rFonts w:hint="eastAsia" w:ascii="仿宋" w:hAnsi="仿宋" w:eastAsia="仿宋" w:cstheme="minorBidi"/>
                <w:kern w:val="2"/>
                <w:highlight w:val="none"/>
              </w:rPr>
              <w:t>股东名称</w:t>
            </w:r>
          </w:p>
        </w:tc>
      </w:tr>
      <w:tr w14:paraId="60D9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299D1F5D">
            <w:pPr>
              <w:pStyle w:val="28"/>
              <w:jc w:val="center"/>
              <w:rPr>
                <w:rFonts w:ascii="仿宋" w:hAnsi="仿宋" w:eastAsia="仿宋" w:cstheme="minorBidi"/>
                <w:kern w:val="2"/>
                <w:highlight w:val="none"/>
              </w:rPr>
            </w:pPr>
            <w:r>
              <w:rPr>
                <w:rFonts w:hint="eastAsia" w:ascii="仿宋" w:hAnsi="仿宋" w:eastAsia="仿宋" w:cstheme="minorBidi"/>
                <w:kern w:val="2"/>
                <w:highlight w:val="none"/>
              </w:rPr>
              <w:t>1</w:t>
            </w:r>
          </w:p>
        </w:tc>
        <w:tc>
          <w:tcPr>
            <w:tcW w:w="6454" w:type="dxa"/>
            <w:tcBorders>
              <w:top w:val="single" w:color="auto" w:sz="4" w:space="0"/>
              <w:left w:val="nil"/>
              <w:bottom w:val="single" w:color="auto" w:sz="4" w:space="0"/>
              <w:right w:val="single" w:color="auto" w:sz="4" w:space="0"/>
            </w:tcBorders>
            <w:vAlign w:val="center"/>
          </w:tcPr>
          <w:p w14:paraId="57D0308A">
            <w:pPr>
              <w:pStyle w:val="28"/>
              <w:ind w:firstLine="480"/>
              <w:jc w:val="center"/>
              <w:rPr>
                <w:rFonts w:ascii="仿宋" w:hAnsi="仿宋" w:eastAsia="仿宋" w:cstheme="minorBidi"/>
                <w:kern w:val="2"/>
                <w:highlight w:val="none"/>
              </w:rPr>
            </w:pPr>
          </w:p>
        </w:tc>
      </w:tr>
      <w:tr w14:paraId="687A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76" w:type="dxa"/>
            <w:tcBorders>
              <w:top w:val="single" w:color="auto" w:sz="4" w:space="0"/>
              <w:left w:val="single" w:color="auto" w:sz="4" w:space="0"/>
              <w:bottom w:val="single" w:color="auto" w:sz="4" w:space="0"/>
              <w:right w:val="single" w:color="auto" w:sz="4" w:space="0"/>
            </w:tcBorders>
            <w:vAlign w:val="center"/>
          </w:tcPr>
          <w:p w14:paraId="4467581D">
            <w:pPr>
              <w:pStyle w:val="28"/>
              <w:jc w:val="center"/>
              <w:rPr>
                <w:rFonts w:ascii="仿宋" w:hAnsi="仿宋" w:eastAsia="仿宋" w:cstheme="minorBidi"/>
                <w:kern w:val="2"/>
                <w:highlight w:val="none"/>
              </w:rPr>
            </w:pPr>
            <w:r>
              <w:rPr>
                <w:rFonts w:hint="eastAsia" w:ascii="仿宋" w:hAnsi="仿宋" w:eastAsia="仿宋" w:cstheme="minorBidi"/>
                <w:kern w:val="2"/>
                <w:highlight w:val="none"/>
              </w:rPr>
              <w:t>2</w:t>
            </w:r>
          </w:p>
        </w:tc>
        <w:tc>
          <w:tcPr>
            <w:tcW w:w="6454" w:type="dxa"/>
            <w:tcBorders>
              <w:top w:val="single" w:color="auto" w:sz="4" w:space="0"/>
              <w:left w:val="nil"/>
              <w:bottom w:val="single" w:color="auto" w:sz="4" w:space="0"/>
              <w:right w:val="single" w:color="auto" w:sz="4" w:space="0"/>
            </w:tcBorders>
            <w:vAlign w:val="center"/>
          </w:tcPr>
          <w:p w14:paraId="2293C6F0">
            <w:pPr>
              <w:pStyle w:val="28"/>
              <w:ind w:firstLine="480"/>
              <w:jc w:val="center"/>
              <w:rPr>
                <w:rFonts w:ascii="仿宋" w:hAnsi="仿宋" w:eastAsia="仿宋" w:cstheme="minorBidi"/>
                <w:kern w:val="2"/>
                <w:highlight w:val="none"/>
              </w:rPr>
            </w:pPr>
          </w:p>
        </w:tc>
      </w:tr>
      <w:tr w14:paraId="56A0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11EFA6C9">
            <w:pPr>
              <w:pStyle w:val="28"/>
              <w:jc w:val="center"/>
              <w:rPr>
                <w:rFonts w:ascii="仿宋" w:hAnsi="仿宋" w:eastAsia="仿宋" w:cstheme="minorBidi"/>
                <w:kern w:val="2"/>
                <w:highlight w:val="none"/>
              </w:rPr>
            </w:pPr>
            <w:r>
              <w:rPr>
                <w:rFonts w:hint="eastAsia" w:ascii="仿宋" w:hAnsi="仿宋" w:eastAsia="仿宋" w:cstheme="minorBidi"/>
                <w:kern w:val="2"/>
                <w:highlight w:val="none"/>
              </w:rPr>
              <w:t>3</w:t>
            </w:r>
          </w:p>
        </w:tc>
        <w:tc>
          <w:tcPr>
            <w:tcW w:w="6454" w:type="dxa"/>
            <w:tcBorders>
              <w:top w:val="single" w:color="auto" w:sz="4" w:space="0"/>
              <w:left w:val="nil"/>
              <w:bottom w:val="single" w:color="auto" w:sz="4" w:space="0"/>
              <w:right w:val="single" w:color="auto" w:sz="4" w:space="0"/>
            </w:tcBorders>
            <w:vAlign w:val="center"/>
          </w:tcPr>
          <w:p w14:paraId="3509EFEE">
            <w:pPr>
              <w:pStyle w:val="28"/>
              <w:ind w:firstLine="480"/>
              <w:jc w:val="center"/>
              <w:rPr>
                <w:rFonts w:ascii="仿宋" w:hAnsi="仿宋" w:eastAsia="仿宋" w:cstheme="minorBidi"/>
                <w:kern w:val="2"/>
                <w:highlight w:val="none"/>
              </w:rPr>
            </w:pPr>
          </w:p>
        </w:tc>
      </w:tr>
      <w:tr w14:paraId="35A0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79FFB60E">
            <w:pPr>
              <w:pStyle w:val="28"/>
              <w:jc w:val="center"/>
              <w:rPr>
                <w:rFonts w:ascii="仿宋" w:hAnsi="仿宋" w:eastAsia="仿宋" w:cstheme="minorBidi"/>
                <w:kern w:val="2"/>
                <w:highlight w:val="none"/>
              </w:rPr>
            </w:pPr>
            <w:r>
              <w:rPr>
                <w:rFonts w:hint="eastAsia" w:ascii="仿宋" w:hAnsi="仿宋" w:eastAsia="仿宋" w:cstheme="minorBidi"/>
                <w:kern w:val="2"/>
                <w:highlight w:val="none"/>
              </w:rPr>
              <w:t>4</w:t>
            </w:r>
          </w:p>
        </w:tc>
        <w:tc>
          <w:tcPr>
            <w:tcW w:w="6454" w:type="dxa"/>
            <w:tcBorders>
              <w:top w:val="single" w:color="auto" w:sz="4" w:space="0"/>
              <w:left w:val="nil"/>
              <w:bottom w:val="single" w:color="auto" w:sz="4" w:space="0"/>
              <w:right w:val="single" w:color="auto" w:sz="4" w:space="0"/>
            </w:tcBorders>
            <w:vAlign w:val="center"/>
          </w:tcPr>
          <w:p w14:paraId="798B27B9">
            <w:pPr>
              <w:pStyle w:val="28"/>
              <w:ind w:firstLine="480"/>
              <w:jc w:val="center"/>
              <w:rPr>
                <w:rFonts w:ascii="仿宋" w:hAnsi="仿宋" w:eastAsia="仿宋" w:cstheme="minorBidi"/>
                <w:kern w:val="2"/>
                <w:highlight w:val="none"/>
              </w:rPr>
            </w:pPr>
          </w:p>
        </w:tc>
      </w:tr>
      <w:tr w14:paraId="0BB6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6" w:type="dxa"/>
            <w:tcBorders>
              <w:top w:val="single" w:color="auto" w:sz="4" w:space="0"/>
              <w:left w:val="single" w:color="auto" w:sz="4" w:space="0"/>
              <w:bottom w:val="single" w:color="auto" w:sz="4" w:space="0"/>
              <w:right w:val="single" w:color="auto" w:sz="4" w:space="0"/>
            </w:tcBorders>
            <w:vAlign w:val="center"/>
          </w:tcPr>
          <w:p w14:paraId="406637AB">
            <w:pPr>
              <w:pStyle w:val="28"/>
              <w:jc w:val="center"/>
              <w:rPr>
                <w:rFonts w:ascii="仿宋" w:hAnsi="仿宋" w:eastAsia="仿宋" w:cstheme="minorBidi"/>
                <w:kern w:val="2"/>
                <w:highlight w:val="none"/>
              </w:rPr>
            </w:pPr>
            <w:r>
              <w:rPr>
                <w:rFonts w:hint="eastAsia" w:ascii="仿宋" w:hAnsi="仿宋" w:eastAsia="仿宋" w:cstheme="minorBidi"/>
                <w:kern w:val="2"/>
                <w:highlight w:val="none"/>
              </w:rPr>
              <w:t>5</w:t>
            </w:r>
          </w:p>
        </w:tc>
        <w:tc>
          <w:tcPr>
            <w:tcW w:w="6454" w:type="dxa"/>
            <w:tcBorders>
              <w:top w:val="single" w:color="auto" w:sz="4" w:space="0"/>
              <w:left w:val="nil"/>
              <w:bottom w:val="single" w:color="auto" w:sz="4" w:space="0"/>
              <w:right w:val="single" w:color="auto" w:sz="4" w:space="0"/>
            </w:tcBorders>
            <w:vAlign w:val="center"/>
          </w:tcPr>
          <w:p w14:paraId="544C3EE5">
            <w:pPr>
              <w:pStyle w:val="28"/>
              <w:ind w:firstLine="480"/>
              <w:jc w:val="center"/>
              <w:rPr>
                <w:rFonts w:ascii="仿宋" w:hAnsi="仿宋" w:eastAsia="仿宋" w:cstheme="minorBidi"/>
                <w:kern w:val="2"/>
                <w:highlight w:val="none"/>
              </w:rPr>
            </w:pPr>
          </w:p>
        </w:tc>
      </w:tr>
    </w:tbl>
    <w:p w14:paraId="40E72049">
      <w:pPr>
        <w:spacing w:line="360" w:lineRule="auto"/>
        <w:ind w:firstLine="480" w:firstLineChars="200"/>
        <w:rPr>
          <w:rFonts w:ascii="仿宋" w:hAnsi="仿宋" w:eastAsia="仿宋"/>
          <w:szCs w:val="21"/>
          <w:highlight w:val="none"/>
        </w:rPr>
      </w:pPr>
      <w:r>
        <w:rPr>
          <w:rFonts w:ascii="仿宋" w:hAnsi="仿宋" w:eastAsia="仿宋"/>
          <w:sz w:val="24"/>
          <w:highlight w:val="none"/>
        </w:rPr>
        <w:t>3</w:t>
      </w:r>
      <w:r>
        <w:rPr>
          <w:rFonts w:hint="eastAsia" w:ascii="仿宋" w:hAnsi="仿宋" w:eastAsia="仿宋"/>
          <w:sz w:val="24"/>
          <w:highlight w:val="none"/>
        </w:rPr>
        <w:t>.响应供应商认为有必要提供的其他材料</w:t>
      </w:r>
      <w:bookmarkEnd w:id="14"/>
      <w:bookmarkEnd w:id="15"/>
      <w:bookmarkEnd w:id="16"/>
      <w:r>
        <w:rPr>
          <w:rFonts w:hint="eastAsia" w:ascii="仿宋" w:hAnsi="仿宋" w:eastAsia="仿宋"/>
          <w:sz w:val="24"/>
          <w:highlight w:val="none"/>
        </w:rPr>
        <w:t>。</w:t>
      </w:r>
      <w:r>
        <w:rPr>
          <w:rFonts w:ascii="仿宋" w:hAnsi="仿宋" w:eastAsia="仿宋"/>
          <w:szCs w:val="21"/>
          <w:highlight w:val="none"/>
        </w:rPr>
        <w:br w:type="page"/>
      </w:r>
    </w:p>
    <w:p w14:paraId="6BDF9E44">
      <w:pPr>
        <w:pStyle w:val="2"/>
        <w:adjustRightInd w:val="0"/>
        <w:snapToGrid w:val="0"/>
        <w:spacing w:before="0" w:after="0" w:line="360" w:lineRule="auto"/>
        <w:ind w:left="210" w:leftChars="100" w:right="210" w:rightChars="100"/>
        <w:jc w:val="center"/>
        <w:rPr>
          <w:rFonts w:ascii="仿宋" w:hAnsi="仿宋" w:eastAsia="仿宋"/>
          <w:sz w:val="28"/>
          <w:highlight w:val="none"/>
        </w:rPr>
      </w:pPr>
      <w:r>
        <w:rPr>
          <w:rFonts w:hint="eastAsia" w:eastAsia="仿宋"/>
          <w:sz w:val="28"/>
          <w:highlight w:val="none"/>
        </w:rPr>
        <w:t>第</w:t>
      </w:r>
      <w:r>
        <w:rPr>
          <w:rFonts w:hint="eastAsia" w:ascii="仿宋" w:hAnsi="仿宋" w:eastAsia="仿宋"/>
          <w:sz w:val="28"/>
          <w:highlight w:val="none"/>
        </w:rPr>
        <w:t>四</w:t>
      </w:r>
      <w:r>
        <w:rPr>
          <w:rFonts w:hint="eastAsia" w:eastAsia="仿宋"/>
          <w:sz w:val="28"/>
          <w:highlight w:val="none"/>
        </w:rPr>
        <w:t>卷</w:t>
      </w:r>
      <w:r>
        <w:rPr>
          <w:rFonts w:hint="eastAsia" w:ascii="仿宋" w:hAnsi="仿宋" w:eastAsia="仿宋"/>
          <w:sz w:val="28"/>
          <w:highlight w:val="none"/>
        </w:rPr>
        <w:t xml:space="preserve"> 拟签订合同条款及内容</w:t>
      </w:r>
    </w:p>
    <w:p w14:paraId="5D93C43C">
      <w:pPr>
        <w:jc w:val="center"/>
        <w:rPr>
          <w:highlight w:val="none"/>
        </w:rPr>
      </w:pPr>
    </w:p>
    <w:bookmarkEnd w:id="0"/>
    <w:p w14:paraId="3ABAB6D6">
      <w:pPr>
        <w:adjustRightInd w:val="0"/>
        <w:snapToGrid w:val="0"/>
        <w:spacing w:line="360" w:lineRule="auto"/>
        <w:ind w:firstLine="480" w:firstLineChars="200"/>
        <w:jc w:val="left"/>
        <w:rPr>
          <w:rFonts w:hint="default" w:ascii="仿宋" w:hAnsi="仿宋" w:eastAsia="仿宋"/>
          <w:sz w:val="24"/>
          <w:highlight w:val="none"/>
          <w:lang w:val="en-US" w:eastAsia="zh-CN"/>
        </w:rPr>
      </w:pPr>
      <w:bookmarkStart w:id="19" w:name="_Toc186288223"/>
      <w:bookmarkStart w:id="20" w:name="_Toc186191379"/>
      <w:r>
        <w:rPr>
          <w:rFonts w:hint="eastAsia" w:ascii="仿宋" w:hAnsi="仿宋" w:eastAsia="仿宋"/>
          <w:sz w:val="24"/>
          <w:highlight w:val="none"/>
          <w:lang w:val="en-US" w:eastAsia="zh-CN"/>
        </w:rPr>
        <w:t>合同内容较多见合同附件</w:t>
      </w:r>
    </w:p>
    <w:p w14:paraId="06B664F2">
      <w:pPr>
        <w:pStyle w:val="3"/>
        <w:adjustRightInd w:val="0"/>
        <w:snapToGrid w:val="0"/>
        <w:spacing w:before="120" w:after="120" w:line="360" w:lineRule="auto"/>
        <w:jc w:val="left"/>
        <w:rPr>
          <w:rFonts w:ascii="仿宋" w:hAnsi="仿宋" w:eastAsia="仿宋"/>
          <w:sz w:val="24"/>
          <w:szCs w:val="24"/>
          <w:highlight w:val="none"/>
        </w:rPr>
      </w:pPr>
      <w:r>
        <w:rPr>
          <w:rFonts w:hint="eastAsia" w:ascii="仿宋" w:hAnsi="仿宋" w:eastAsia="仿宋"/>
          <w:sz w:val="24"/>
          <w:szCs w:val="24"/>
          <w:highlight w:val="none"/>
        </w:rPr>
        <w:t>附件1：廉洁合规承诺书</w:t>
      </w:r>
      <w:bookmarkEnd w:id="19"/>
      <w:bookmarkEnd w:id="20"/>
    </w:p>
    <w:p w14:paraId="6289E796">
      <w:pPr>
        <w:adjustRightInd w:val="0"/>
        <w:snapToGrid w:val="0"/>
        <w:spacing w:line="360" w:lineRule="auto"/>
        <w:ind w:firstLine="480" w:firstLineChars="200"/>
        <w:jc w:val="left"/>
        <w:rPr>
          <w:rFonts w:ascii="仿宋" w:hAnsi="仿宋" w:eastAsia="仿宋"/>
          <w:sz w:val="24"/>
          <w:highlight w:val="none"/>
        </w:rPr>
      </w:pPr>
      <w:bookmarkStart w:id="21" w:name="OLE_LINK5"/>
      <w:bookmarkStart w:id="22" w:name="OLE_LINK4"/>
      <w:r>
        <w:rPr>
          <w:rFonts w:hint="eastAsia" w:ascii="仿宋" w:hAnsi="仿宋" w:eastAsia="仿宋"/>
          <w:sz w:val="24"/>
          <w:highlight w:val="none"/>
        </w:rPr>
        <w:t>一、不向华润员工及其亲属和其他特定关系人赠送礼品、礼金、消费卡（券）、有价证券、股权、其他金融产品等财物。</w:t>
      </w:r>
    </w:p>
    <w:p w14:paraId="34DFE621">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二、不向华润员工及其亲属和其他特定关系人出借钱款、住房、车辆等财物。</w:t>
      </w:r>
    </w:p>
    <w:p w14:paraId="55BFF639">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三、不向华润员工及其亲属和其他特定关系人提供可能影响公正履职的宴请或者旅游、健身、娱乐等活动安排。</w:t>
      </w:r>
    </w:p>
    <w:p w14:paraId="1827B7F6">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四、不替华润员工及其亲属和其他特定关系人支付或报销任何费用。</w:t>
      </w:r>
    </w:p>
    <w:p w14:paraId="7027CB03">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五、不替华润员工及其亲属和其他特定关系人代持股份。</w:t>
      </w:r>
    </w:p>
    <w:p w14:paraId="12A1EDE2">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六、不与华润员工或者其他单位和个人串通投标或者串通报价，不采取恶性竞争等不正当手段竞争业务。</w:t>
      </w:r>
    </w:p>
    <w:p w14:paraId="295B8030">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七、不与华润员工就标底、其他供应商的响应文件等商业秘密及合同中的条款进行私下商谈或者达成默契。</w:t>
      </w:r>
    </w:p>
    <w:p w14:paraId="0242BDC2">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八、不违法转包、分包项目。</w:t>
      </w:r>
    </w:p>
    <w:p w14:paraId="5872526F">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九、严格执行合同约定，不弄虚作假。</w:t>
      </w:r>
    </w:p>
    <w:p w14:paraId="1F32E33F">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十、如实向华润方通报本单位股东和员工与华润方存在亲属或者其他特定关系的情况。</w:t>
      </w:r>
    </w:p>
    <w:p w14:paraId="74D56484">
      <w:pPr>
        <w:adjustRightInd w:val="0"/>
        <w:snapToGrid w:val="0"/>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发现本单位人员有违反上述行为的，及时制止、批评教育；发现华润员工有索贿、受贿行为的，坚决拒绝，并向华润相关领导或纪检监察部门举报。</w:t>
      </w:r>
    </w:p>
    <w:p w14:paraId="43958270">
      <w:pPr>
        <w:pStyle w:val="24"/>
        <w:adjustRightInd w:val="0"/>
        <w:snapToGrid w:val="0"/>
        <w:spacing w:line="360" w:lineRule="auto"/>
        <w:rPr>
          <w:rFonts w:ascii="仿宋" w:hAnsi="仿宋" w:eastAsia="仿宋" w:cs="Times New Roman"/>
          <w:kern w:val="2"/>
          <w:sz w:val="24"/>
          <w:highlight w:val="none"/>
        </w:rPr>
      </w:pPr>
    </w:p>
    <w:p w14:paraId="77C4673C">
      <w:pPr>
        <w:pStyle w:val="24"/>
        <w:adjustRightInd w:val="0"/>
        <w:snapToGrid w:val="0"/>
        <w:spacing w:line="360" w:lineRule="auto"/>
        <w:rPr>
          <w:rFonts w:ascii="仿宋" w:hAnsi="仿宋" w:eastAsia="仿宋" w:cs="Times New Roman"/>
          <w:i/>
          <w:color w:val="FF0000"/>
          <w:kern w:val="2"/>
          <w:sz w:val="24"/>
          <w:highlight w:val="none"/>
        </w:rPr>
      </w:pPr>
      <w:r>
        <w:rPr>
          <w:rFonts w:hint="eastAsia" w:ascii="仿宋" w:hAnsi="仿宋" w:eastAsia="仿宋" w:cs="Times New Roman"/>
          <w:kern w:val="2"/>
          <w:sz w:val="24"/>
          <w:highlight w:val="none"/>
        </w:rPr>
        <w:t>举报电话：</w:t>
      </w:r>
    </w:p>
    <w:p w14:paraId="521374AE">
      <w:pPr>
        <w:pStyle w:val="24"/>
        <w:adjustRightInd w:val="0"/>
        <w:snapToGrid w:val="0"/>
        <w:spacing w:line="360" w:lineRule="auto"/>
        <w:rPr>
          <w:rFonts w:ascii="仿宋" w:hAnsi="仿宋" w:eastAsia="仿宋" w:cs="Times New Roman"/>
          <w:i/>
          <w:color w:val="FF0000"/>
          <w:kern w:val="2"/>
          <w:sz w:val="24"/>
          <w:highlight w:val="none"/>
        </w:rPr>
      </w:pPr>
      <w:r>
        <w:rPr>
          <w:rFonts w:hint="eastAsia" w:ascii="仿宋" w:hAnsi="仿宋" w:eastAsia="仿宋" w:cs="Times New Roman"/>
          <w:kern w:val="2"/>
          <w:sz w:val="24"/>
          <w:highlight w:val="none"/>
        </w:rPr>
        <w:t>举报邮箱：</w:t>
      </w:r>
    </w:p>
    <w:p w14:paraId="6E34844C">
      <w:pPr>
        <w:pStyle w:val="24"/>
        <w:adjustRightInd w:val="0"/>
        <w:snapToGrid w:val="0"/>
        <w:spacing w:line="360" w:lineRule="auto"/>
        <w:rPr>
          <w:rFonts w:ascii="仿宋" w:hAnsi="仿宋" w:eastAsia="仿宋" w:cs="Times New Roman"/>
          <w:kern w:val="2"/>
          <w:sz w:val="24"/>
          <w:highlight w:val="none"/>
        </w:rPr>
      </w:pPr>
    </w:p>
    <w:p w14:paraId="6762C802">
      <w:pPr>
        <w:pStyle w:val="24"/>
        <w:adjustRightInd w:val="0"/>
        <w:snapToGrid w:val="0"/>
        <w:spacing w:line="360" w:lineRule="auto"/>
        <w:rPr>
          <w:rFonts w:ascii="仿宋" w:hAnsi="仿宋" w:eastAsia="仿宋" w:cs="Times New Roman"/>
          <w:kern w:val="2"/>
          <w:sz w:val="24"/>
          <w:highlight w:val="none"/>
        </w:rPr>
      </w:pPr>
      <w:r>
        <w:rPr>
          <w:rFonts w:hint="eastAsia" w:ascii="仿宋" w:hAnsi="仿宋" w:eastAsia="仿宋" w:cs="Times New Roman"/>
          <w:kern w:val="2"/>
          <w:sz w:val="24"/>
          <w:highlight w:val="none"/>
        </w:rPr>
        <w:t xml:space="preserve">单位名称（盖章）：                    </w:t>
      </w:r>
    </w:p>
    <w:p w14:paraId="05454EE5">
      <w:pPr>
        <w:pStyle w:val="24"/>
        <w:adjustRightInd w:val="0"/>
        <w:snapToGrid w:val="0"/>
        <w:spacing w:line="360" w:lineRule="auto"/>
        <w:rPr>
          <w:rFonts w:ascii="仿宋" w:hAnsi="仿宋" w:eastAsia="仿宋" w:cs="Times New Roman"/>
          <w:kern w:val="2"/>
          <w:sz w:val="24"/>
          <w:highlight w:val="none"/>
        </w:rPr>
      </w:pPr>
    </w:p>
    <w:p w14:paraId="5DCB367A">
      <w:pPr>
        <w:adjustRightInd w:val="0"/>
        <w:snapToGrid w:val="0"/>
        <w:spacing w:line="360" w:lineRule="auto"/>
        <w:rPr>
          <w:rFonts w:ascii="仿宋" w:hAnsi="仿宋" w:eastAsia="仿宋" w:cstheme="minorBidi"/>
          <w:sz w:val="24"/>
          <w:highlight w:val="none"/>
        </w:rPr>
      </w:pPr>
      <w:r>
        <w:rPr>
          <w:rFonts w:hint="eastAsia" w:ascii="仿宋" w:hAnsi="仿宋" w:eastAsia="仿宋"/>
          <w:sz w:val="24"/>
          <w:highlight w:val="none"/>
        </w:rPr>
        <w:t xml:space="preserve">法定代表人或授权代表（签字）：        </w:t>
      </w:r>
    </w:p>
    <w:p w14:paraId="65D1FAD0">
      <w:pPr>
        <w:adjustRightInd w:val="0"/>
        <w:snapToGrid w:val="0"/>
        <w:spacing w:line="360" w:lineRule="auto"/>
        <w:rPr>
          <w:rFonts w:ascii="仿宋" w:hAnsi="仿宋" w:eastAsia="仿宋"/>
          <w:sz w:val="24"/>
          <w:highlight w:val="none"/>
        </w:rPr>
      </w:pPr>
      <w:r>
        <w:rPr>
          <w:rFonts w:hint="eastAsia" w:ascii="仿宋" w:hAnsi="仿宋" w:eastAsia="仿宋"/>
          <w:sz w:val="24"/>
          <w:highlight w:val="none"/>
        </w:rPr>
        <w:t>日期：</w:t>
      </w:r>
      <w:bookmarkEnd w:id="21"/>
      <w:bookmarkEnd w:id="22"/>
    </w:p>
    <w:p w14:paraId="2D457819">
      <w:pPr>
        <w:pStyle w:val="3"/>
        <w:adjustRightInd w:val="0"/>
        <w:snapToGrid w:val="0"/>
        <w:spacing w:before="120" w:after="120" w:line="360" w:lineRule="auto"/>
        <w:jc w:val="left"/>
        <w:rPr>
          <w:rFonts w:ascii="仿宋" w:hAnsi="仿宋" w:eastAsia="仿宋"/>
          <w:sz w:val="24"/>
          <w:szCs w:val="24"/>
          <w:highlight w:val="none"/>
        </w:rPr>
      </w:pPr>
      <w:bookmarkStart w:id="23" w:name="_Toc186288224"/>
      <w:bookmarkStart w:id="24" w:name="_Toc186191380"/>
      <w:r>
        <w:rPr>
          <w:rFonts w:hint="eastAsia" w:ascii="仿宋" w:hAnsi="仿宋" w:eastAsia="仿宋"/>
          <w:sz w:val="24"/>
          <w:szCs w:val="24"/>
          <w:highlight w:val="none"/>
        </w:rPr>
        <w:t>附件2：供应商失信行为处置标准</w:t>
      </w:r>
      <w:bookmarkEnd w:id="23"/>
      <w:bookmarkEnd w:id="24"/>
    </w:p>
    <w:p w14:paraId="7F8FABC7">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对考核评价得分不足 85 分，以及存在失信行为的供应商的处置，可参照以下标准。</w:t>
      </w:r>
    </w:p>
    <w:p w14:paraId="6AE5745E">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供应商处置分为“警告”、“暂停合作”、“停止合作”三种形式。被“警告”处置的列入“重点关注名单”，被“暂停合作”处置的列入“黑名单”，被“停止合作”处置的列入“永久黑名单”。</w:t>
      </w:r>
    </w:p>
    <w:p w14:paraId="5AD1026B">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一、“警告”处置是指对日常考核评价基本合格但分数较低，或违反采购和合同相关规定，情节轻微、未给企业造成实质损失的供应商，由各公司负责提出警告并通知供应商及时完成整改。整改期限原则上不超过 3 个月。</w:t>
      </w:r>
    </w:p>
    <w:p w14:paraId="2C7120A3">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被“警告”处置的供应商，已完成整改要求，经本公司采购委员会审批通过的，解除“警告”处置。</w:t>
      </w:r>
    </w:p>
    <w:p w14:paraId="1EEEFC06">
      <w:pPr>
        <w:adjustRightInd w:val="0"/>
        <w:snapToGrid w:val="0"/>
        <w:spacing w:line="360" w:lineRule="auto"/>
        <w:ind w:firstLine="482" w:firstLineChars="200"/>
        <w:rPr>
          <w:rFonts w:ascii="仿宋" w:hAnsi="仿宋" w:eastAsia="仿宋" w:cs="楷体"/>
          <w:b/>
          <w:bCs/>
          <w:color w:val="000000"/>
          <w:sz w:val="24"/>
          <w:highlight w:val="none"/>
        </w:rPr>
      </w:pPr>
      <w:r>
        <w:rPr>
          <w:rFonts w:hint="eastAsia" w:ascii="仿宋" w:hAnsi="仿宋" w:eastAsia="仿宋" w:cs="楷体"/>
          <w:b/>
          <w:bCs/>
          <w:color w:val="000000"/>
          <w:sz w:val="24"/>
          <w:highlight w:val="none"/>
        </w:rPr>
        <w:t>二、“暂停合作”处置是指暂停供应商在本公司的合格投标人/报价人/合同供应商资格。依据供应商失信行为性质的严重程度，“暂停合作”期限设为 1 年、2 年、3-5 年。</w:t>
      </w:r>
    </w:p>
    <w:p w14:paraId="32EA20B4">
      <w:pPr>
        <w:adjustRightInd w:val="0"/>
        <w:snapToGrid w:val="0"/>
        <w:spacing w:line="360" w:lineRule="auto"/>
        <w:ind w:firstLine="482" w:firstLineChars="200"/>
        <w:rPr>
          <w:rFonts w:ascii="仿宋" w:hAnsi="仿宋" w:eastAsia="仿宋" w:cs="楷体"/>
          <w:b/>
          <w:bCs/>
          <w:color w:val="000000"/>
          <w:sz w:val="24"/>
          <w:highlight w:val="none"/>
        </w:rPr>
      </w:pPr>
      <w:r>
        <w:rPr>
          <w:rFonts w:hint="eastAsia" w:ascii="仿宋" w:hAnsi="仿宋" w:eastAsia="仿宋" w:cs="楷体"/>
          <w:b/>
          <w:bCs/>
          <w:color w:val="000000"/>
          <w:sz w:val="24"/>
          <w:highlight w:val="none"/>
        </w:rPr>
        <w:t>（一）对有下列情形之一的供应商，给予“暂停合作”1 年处置：</w:t>
      </w:r>
    </w:p>
    <w:p w14:paraId="29E97CCD">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1.不能按招标文件、投标文件或合同约定完成相关事项，给公司造成损失，影响生产建设的；</w:t>
      </w:r>
    </w:p>
    <w:p w14:paraId="5D84DC17">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2.未经业主同意擅自将中标项目分包的；</w:t>
      </w:r>
    </w:p>
    <w:p w14:paraId="4CECC58D">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3.未经业主同意擅自更换合同约定或采购文件承诺的原材料、零部件，影响生产建设的；</w:t>
      </w:r>
    </w:p>
    <w:p w14:paraId="31953204">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4.考评得分＜60 分的。</w:t>
      </w:r>
    </w:p>
    <w:p w14:paraId="4A9E9F7F">
      <w:pPr>
        <w:adjustRightInd w:val="0"/>
        <w:snapToGrid w:val="0"/>
        <w:spacing w:line="360" w:lineRule="auto"/>
        <w:ind w:firstLine="482" w:firstLineChars="200"/>
        <w:rPr>
          <w:rFonts w:ascii="仿宋" w:hAnsi="仿宋" w:eastAsia="仿宋" w:cs="楷体"/>
          <w:b/>
          <w:bCs/>
          <w:color w:val="000000"/>
          <w:sz w:val="24"/>
          <w:highlight w:val="none"/>
        </w:rPr>
      </w:pPr>
      <w:r>
        <w:rPr>
          <w:rFonts w:hint="eastAsia" w:ascii="仿宋" w:hAnsi="仿宋" w:eastAsia="仿宋" w:cs="楷体"/>
          <w:b/>
          <w:bCs/>
          <w:color w:val="000000"/>
          <w:sz w:val="24"/>
          <w:highlight w:val="none"/>
        </w:rPr>
        <w:t>（二）对有下列情形之一的供应商，给予“暂停合作”2 年处置：</w:t>
      </w:r>
    </w:p>
    <w:p w14:paraId="658353E2">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1.在采购活动期间以非正常渠道接触采购人、采购代理机构、评标及评审专家等人员，获取相关信息，干扰正常采购的；</w:t>
      </w:r>
    </w:p>
    <w:p w14:paraId="27767B4F">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2.开标之后无正当理由放弃中标/成交不与采购人订立合同，在签订合同时向采购人提出附加条件，或未按约定提交履约保证金或索取额外费用等失信行为，影响生产建设的；</w:t>
      </w:r>
    </w:p>
    <w:p w14:paraId="69B23856">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3.违反投标承诺或合同约定提高价格、降低质量、拖延工期，影响生产建设的；</w:t>
      </w:r>
    </w:p>
    <w:p w14:paraId="4EBCCA3F">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4.在质保期内其产品或服务出现质量问题，未按合同约定及时进行处理，影响安全稳定运行的；</w:t>
      </w:r>
    </w:p>
    <w:p w14:paraId="58D109C5">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5.降低产品标准、偷工减料，或在生产制造过程中使用伪劣原材料、零部件以次充好，影响现场使用的；</w:t>
      </w:r>
    </w:p>
    <w:p w14:paraId="7315304C">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6.在参与采购活动过程中，存在商业贿赂、恶意诽谤、诬告或陷害其他竞争对手的；</w:t>
      </w:r>
    </w:p>
    <w:p w14:paraId="072A3B37">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7.警告处置整改期限内拒不整改的。</w:t>
      </w:r>
    </w:p>
    <w:p w14:paraId="54417B2B">
      <w:pPr>
        <w:adjustRightInd w:val="0"/>
        <w:snapToGrid w:val="0"/>
        <w:spacing w:line="360" w:lineRule="auto"/>
        <w:ind w:firstLine="482" w:firstLineChars="200"/>
        <w:rPr>
          <w:rFonts w:ascii="仿宋" w:hAnsi="仿宋" w:eastAsia="仿宋" w:cs="楷体"/>
          <w:b/>
          <w:bCs/>
          <w:color w:val="000000"/>
          <w:sz w:val="24"/>
          <w:highlight w:val="none"/>
        </w:rPr>
      </w:pPr>
      <w:r>
        <w:rPr>
          <w:rFonts w:hint="eastAsia" w:ascii="仿宋" w:hAnsi="仿宋" w:eastAsia="仿宋" w:cs="楷体"/>
          <w:b/>
          <w:bCs/>
          <w:color w:val="000000"/>
          <w:sz w:val="24"/>
          <w:highlight w:val="none"/>
        </w:rPr>
        <w:t>（三）对有下列情形之一的供应商，给予“暂停合作”3-5 年处置：</w:t>
      </w:r>
    </w:p>
    <w:p w14:paraId="06F19C58">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1.参与采购活动过程中提供虚假的营业执照、资质证书、业绩，非法以他人名义投标、借用他人资质或以其他弄虚作假方式投标的；</w:t>
      </w:r>
    </w:p>
    <w:p w14:paraId="020DD50B">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2.在采购活动过程中投标人相互串通投标或者与招标人串通投标，破坏公平竞争的；</w:t>
      </w:r>
    </w:p>
    <w:p w14:paraId="48A09538">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3.提供假冒伪劣产品，伪造施工、货物或服务等检验、试验合格证明的；</w:t>
      </w:r>
    </w:p>
    <w:p w14:paraId="1F46903D">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4.在合同签订后，由于供应商自身原因拒绝履行合同义务,单方面擅自终止合同，或将中标项目违法分包/转包；</w:t>
      </w:r>
    </w:p>
    <w:p w14:paraId="527CBC7F">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5.违背《廉洁合规承诺书》的；</w:t>
      </w:r>
    </w:p>
    <w:p w14:paraId="4F0728DA">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6.年度考核评价结果累计 2 次为不合格；</w:t>
      </w:r>
    </w:p>
    <w:p w14:paraId="62CEF2FA">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7.符合《华润燃气控股有限公司相关方安全管理制度》黑名单管理情形的；</w:t>
      </w:r>
    </w:p>
    <w:p w14:paraId="764411AE">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8.华润燃气认定的其他违规行为或条件的。</w:t>
      </w:r>
    </w:p>
    <w:p w14:paraId="49AFC1C3">
      <w:pPr>
        <w:adjustRightInd w:val="0"/>
        <w:snapToGrid w:val="0"/>
        <w:spacing w:line="360" w:lineRule="auto"/>
        <w:ind w:firstLine="482" w:firstLineChars="200"/>
        <w:rPr>
          <w:rFonts w:ascii="仿宋" w:hAnsi="仿宋" w:eastAsia="仿宋" w:cs="楷体"/>
          <w:b/>
          <w:bCs/>
          <w:color w:val="000000"/>
          <w:sz w:val="24"/>
          <w:highlight w:val="none"/>
        </w:rPr>
      </w:pPr>
      <w:r>
        <w:rPr>
          <w:rFonts w:hint="eastAsia" w:ascii="仿宋" w:hAnsi="仿宋" w:eastAsia="仿宋" w:cs="楷体"/>
          <w:b/>
          <w:bCs/>
          <w:color w:val="000000"/>
          <w:sz w:val="24"/>
          <w:highlight w:val="none"/>
        </w:rPr>
        <w:t>三、“停止合作”处置是指停止供应商在本公司的合格投标人/报价人/合同供应商资格。对有下列情形之一的供应商，给予“停止合作”处置：</w:t>
      </w:r>
    </w:p>
    <w:p w14:paraId="381E31F1">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（一）供应商在合同履约过程中，因生产环境严重劣化、破产等原因不再具备履约能力的；</w:t>
      </w:r>
    </w:p>
    <w:p w14:paraId="5E4968A9">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（二）法院判决书认定供应商为谋取不正当利益，向招标采购活动的招标人、评标委员会、招标代理机构等相关人员行贿的；</w:t>
      </w:r>
    </w:p>
    <w:p w14:paraId="7BD8CE5F">
      <w:pPr>
        <w:adjustRightInd w:val="0"/>
        <w:snapToGrid w:val="0"/>
        <w:spacing w:line="360" w:lineRule="auto"/>
        <w:ind w:firstLine="480" w:firstLineChars="200"/>
        <w:rPr>
          <w:rFonts w:ascii="仿宋" w:hAnsi="仿宋" w:eastAsia="仿宋" w:cs="楷体"/>
          <w:bCs/>
          <w:color w:val="000000"/>
          <w:sz w:val="24"/>
          <w:highlight w:val="none"/>
        </w:rPr>
      </w:pPr>
      <w:r>
        <w:rPr>
          <w:rFonts w:hint="eastAsia" w:ascii="仿宋" w:hAnsi="仿宋" w:eastAsia="仿宋" w:cs="楷体"/>
          <w:bCs/>
          <w:color w:val="000000"/>
          <w:sz w:val="24"/>
          <w:highlight w:val="none"/>
        </w:rPr>
        <w:t>（三）符合《华润燃气相关方安全管理指引》认定永久列入华润燃气黑名单情形的。</w:t>
      </w:r>
    </w:p>
    <w:p w14:paraId="31813991">
      <w:pPr>
        <w:adjustRightInd w:val="0"/>
        <w:snapToGrid w:val="0"/>
        <w:spacing w:line="360" w:lineRule="auto"/>
        <w:ind w:firstLine="482" w:firstLineChars="200"/>
        <w:rPr>
          <w:rFonts w:ascii="仿宋" w:hAnsi="仿宋" w:eastAsia="仿宋" w:cs="仿宋"/>
          <w:color w:val="000000"/>
          <w:kern w:val="0"/>
          <w:sz w:val="24"/>
        </w:rPr>
      </w:pPr>
      <w:r>
        <w:rPr>
          <w:rFonts w:hint="eastAsia" w:ascii="仿宋" w:hAnsi="仿宋" w:eastAsia="仿宋" w:cs="楷体"/>
          <w:b/>
          <w:bCs/>
          <w:color w:val="000000"/>
          <w:sz w:val="24"/>
          <w:highlight w:val="none"/>
        </w:rPr>
        <w:t>四、凡被国家相关部门认定为有严重失信行为的供应商，按列入“黑名单”处置，暂停其参与华润燃气采购活动资格，直至供应商信用记录恢复正</w:t>
      </w:r>
      <w:r>
        <w:rPr>
          <w:rFonts w:hint="eastAsia" w:ascii="仿宋" w:hAnsi="仿宋" w:eastAsia="仿宋" w:cs="楷体"/>
          <w:b/>
          <w:bCs/>
          <w:color w:val="000000"/>
          <w:sz w:val="24"/>
        </w:rPr>
        <w:t>常为止。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ZWAdobeF">
    <w:panose1 w:val="00000000000000000000"/>
    <w:charset w:val="00"/>
    <w:family w:val="auto"/>
    <w:pitch w:val="default"/>
    <w:sig w:usb0="00000001" w:usb1="00000000" w:usb2="00000000" w:usb3="00000000" w:csb0="400001FF" w:csb1="FFFF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571750"/>
    </w:sdtPr>
    <w:sdtContent>
      <w:sdt>
        <w:sdtPr>
          <w:id w:val="98381352"/>
        </w:sdtPr>
        <w:sdtContent>
          <w:p w14:paraId="78C9F7EF">
            <w:pPr>
              <w:pStyle w:val="8"/>
              <w:jc w:val="center"/>
            </w:pPr>
            <w:r>
              <w:rPr>
                <w:lang w:val="zh-CN"/>
              </w:rPr>
              <w:t xml:space="preserve"> </w:t>
            </w:r>
            <w:r>
              <w:rPr>
                <w:bCs/>
              </w:rPr>
              <w:fldChar w:fldCharType="begin"/>
            </w:r>
            <w:r>
              <w:rPr>
                <w:bCs/>
              </w:rPr>
              <w:instrText xml:space="preserve">PAGE</w:instrText>
            </w:r>
            <w:r>
              <w:rPr>
                <w:bCs/>
              </w:rPr>
              <w:fldChar w:fldCharType="separate"/>
            </w:r>
            <w:r>
              <w:rPr>
                <w:bCs/>
              </w:rPr>
              <w:t>7</w:t>
            </w:r>
            <w:r>
              <w:rPr>
                <w:bCs/>
              </w:rPr>
              <w:fldChar w:fldCharType="end"/>
            </w:r>
            <w:r>
              <w:rPr>
                <w:lang w:val="zh-CN"/>
              </w:rPr>
              <w:t xml:space="preserve"> / </w:t>
            </w:r>
            <w:r>
              <w:rPr>
                <w:bCs/>
              </w:rPr>
              <w:fldChar w:fldCharType="begin"/>
            </w:r>
            <w:r>
              <w:rPr>
                <w:bCs/>
              </w:rPr>
              <w:instrText xml:space="preserve">NUMPAGES</w:instrText>
            </w:r>
            <w:r>
              <w:rPr>
                <w:bCs/>
              </w:rPr>
              <w:fldChar w:fldCharType="separate"/>
            </w:r>
            <w:r>
              <w:rPr>
                <w:bCs/>
              </w:rPr>
              <w:t>16</w:t>
            </w:r>
            <w:r>
              <w:rPr>
                <w:bCs/>
              </w:rPr>
              <w:fldChar w:fldCharType="end"/>
            </w:r>
          </w:p>
        </w:sdtContent>
      </w:sdt>
    </w:sdtContent>
  </w:sdt>
  <w:p w14:paraId="7D96C8E2">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24039"/>
    <w:multiLevelType w:val="multilevel"/>
    <w:tmpl w:val="AAA2403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suff w:val="nothing"/>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ACBF42A8"/>
    <w:multiLevelType w:val="multilevel"/>
    <w:tmpl w:val="ACBF42A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83E5544"/>
    <w:multiLevelType w:val="multilevel"/>
    <w:tmpl w:val="C83E554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D3FAD1D7"/>
    <w:multiLevelType w:val="multilevel"/>
    <w:tmpl w:val="D3FAD1D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suff w:val="nothing"/>
      <w:lvlText w:val="%4."/>
      <w:lvlJc w:val="left"/>
      <w:pPr>
        <w:ind w:left="2160" w:hanging="420"/>
      </w:pPr>
      <w:rPr>
        <w:color w:val="auto"/>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97DA993"/>
    <w:multiLevelType w:val="multilevel"/>
    <w:tmpl w:val="097DA993"/>
    <w:lvl w:ilvl="0" w:tentative="0">
      <w:start w:val="1"/>
      <w:numFmt w:val="decimal"/>
      <w:suff w:val="nothing"/>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5D48CE"/>
    <w:multiLevelType w:val="multilevel"/>
    <w:tmpl w:val="4B5D48CE"/>
    <w:lvl w:ilvl="0" w:tentative="0">
      <w:start w:val="1"/>
      <w:numFmt w:val="chineseCountingThousand"/>
      <w:suff w:val="nothing"/>
      <w:lvlText w:val="%1、"/>
      <w:lvlJc w:val="left"/>
      <w:pPr>
        <w:ind w:left="439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68D20690"/>
    <w:multiLevelType w:val="multilevel"/>
    <w:tmpl w:val="68D2069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846"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CFA0894"/>
    <w:multiLevelType w:val="multilevel"/>
    <w:tmpl w:val="6CFA0894"/>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BmNjI4YzEyMTdmMjMwOTEyYzQxZGJlZDBjY2IifQ=="/>
  </w:docVars>
  <w:rsids>
    <w:rsidRoot w:val="00411BC4"/>
    <w:rsid w:val="000135D1"/>
    <w:rsid w:val="00022333"/>
    <w:rsid w:val="0003692A"/>
    <w:rsid w:val="00045FA8"/>
    <w:rsid w:val="000565EB"/>
    <w:rsid w:val="0006650C"/>
    <w:rsid w:val="00082D4F"/>
    <w:rsid w:val="000A6FF2"/>
    <w:rsid w:val="000B0A62"/>
    <w:rsid w:val="000B3E6F"/>
    <w:rsid w:val="000D11E4"/>
    <w:rsid w:val="000E3309"/>
    <w:rsid w:val="000F21A9"/>
    <w:rsid w:val="000F42BA"/>
    <w:rsid w:val="0010476B"/>
    <w:rsid w:val="001053DC"/>
    <w:rsid w:val="001201DA"/>
    <w:rsid w:val="0012429B"/>
    <w:rsid w:val="00134D2E"/>
    <w:rsid w:val="00150CA5"/>
    <w:rsid w:val="00162606"/>
    <w:rsid w:val="00164E9B"/>
    <w:rsid w:val="00175786"/>
    <w:rsid w:val="00182648"/>
    <w:rsid w:val="001A5F6F"/>
    <w:rsid w:val="001A7C70"/>
    <w:rsid w:val="001B1BE7"/>
    <w:rsid w:val="001C3CF0"/>
    <w:rsid w:val="001C4771"/>
    <w:rsid w:val="001E2B35"/>
    <w:rsid w:val="00206129"/>
    <w:rsid w:val="00206C93"/>
    <w:rsid w:val="002310C6"/>
    <w:rsid w:val="00240EAF"/>
    <w:rsid w:val="00277FD1"/>
    <w:rsid w:val="00284BF6"/>
    <w:rsid w:val="00285D34"/>
    <w:rsid w:val="00290FFC"/>
    <w:rsid w:val="002921B9"/>
    <w:rsid w:val="00294400"/>
    <w:rsid w:val="002D4BB3"/>
    <w:rsid w:val="002E1D7A"/>
    <w:rsid w:val="002E3081"/>
    <w:rsid w:val="002E5C68"/>
    <w:rsid w:val="002E6E36"/>
    <w:rsid w:val="002F08C8"/>
    <w:rsid w:val="002F6EB0"/>
    <w:rsid w:val="0031533A"/>
    <w:rsid w:val="00323D7D"/>
    <w:rsid w:val="00337A48"/>
    <w:rsid w:val="00343CAB"/>
    <w:rsid w:val="0035418D"/>
    <w:rsid w:val="0036139D"/>
    <w:rsid w:val="003645A6"/>
    <w:rsid w:val="003743A1"/>
    <w:rsid w:val="003810EC"/>
    <w:rsid w:val="0039395F"/>
    <w:rsid w:val="003B0F5C"/>
    <w:rsid w:val="00410B36"/>
    <w:rsid w:val="00411BC4"/>
    <w:rsid w:val="00425713"/>
    <w:rsid w:val="00431539"/>
    <w:rsid w:val="00436ECE"/>
    <w:rsid w:val="004A6C69"/>
    <w:rsid w:val="004B7F95"/>
    <w:rsid w:val="004D2D57"/>
    <w:rsid w:val="004F06C1"/>
    <w:rsid w:val="005033F9"/>
    <w:rsid w:val="0051377A"/>
    <w:rsid w:val="00542495"/>
    <w:rsid w:val="005751D1"/>
    <w:rsid w:val="0059410A"/>
    <w:rsid w:val="0059762C"/>
    <w:rsid w:val="005A04B4"/>
    <w:rsid w:val="005D4635"/>
    <w:rsid w:val="005E0681"/>
    <w:rsid w:val="005E3CC1"/>
    <w:rsid w:val="00621A09"/>
    <w:rsid w:val="00622C44"/>
    <w:rsid w:val="006478F2"/>
    <w:rsid w:val="006622DA"/>
    <w:rsid w:val="006809B2"/>
    <w:rsid w:val="00683588"/>
    <w:rsid w:val="006A0343"/>
    <w:rsid w:val="006C2226"/>
    <w:rsid w:val="006C35A8"/>
    <w:rsid w:val="006E03D7"/>
    <w:rsid w:val="006E1EF1"/>
    <w:rsid w:val="006F71FD"/>
    <w:rsid w:val="00710D70"/>
    <w:rsid w:val="00714371"/>
    <w:rsid w:val="00725997"/>
    <w:rsid w:val="00732F26"/>
    <w:rsid w:val="00750D7D"/>
    <w:rsid w:val="00752E56"/>
    <w:rsid w:val="00763F78"/>
    <w:rsid w:val="00797D9B"/>
    <w:rsid w:val="007A0C6B"/>
    <w:rsid w:val="007D761E"/>
    <w:rsid w:val="007E570F"/>
    <w:rsid w:val="007E7358"/>
    <w:rsid w:val="00813C5C"/>
    <w:rsid w:val="00815A82"/>
    <w:rsid w:val="00835725"/>
    <w:rsid w:val="00840033"/>
    <w:rsid w:val="00854AE4"/>
    <w:rsid w:val="00875225"/>
    <w:rsid w:val="00883759"/>
    <w:rsid w:val="008923BD"/>
    <w:rsid w:val="008A720D"/>
    <w:rsid w:val="008C28F8"/>
    <w:rsid w:val="008C3C0F"/>
    <w:rsid w:val="008C68C9"/>
    <w:rsid w:val="008D1344"/>
    <w:rsid w:val="008E2462"/>
    <w:rsid w:val="008F3B86"/>
    <w:rsid w:val="008F6B89"/>
    <w:rsid w:val="00907902"/>
    <w:rsid w:val="00916793"/>
    <w:rsid w:val="00957D16"/>
    <w:rsid w:val="00971EFF"/>
    <w:rsid w:val="009736CB"/>
    <w:rsid w:val="009835EF"/>
    <w:rsid w:val="00992D35"/>
    <w:rsid w:val="0099559B"/>
    <w:rsid w:val="009D6DD4"/>
    <w:rsid w:val="00A246F5"/>
    <w:rsid w:val="00A321C7"/>
    <w:rsid w:val="00A4662C"/>
    <w:rsid w:val="00A66829"/>
    <w:rsid w:val="00A76602"/>
    <w:rsid w:val="00AA1282"/>
    <w:rsid w:val="00AA2453"/>
    <w:rsid w:val="00AB7F47"/>
    <w:rsid w:val="00AC01B0"/>
    <w:rsid w:val="00AC182C"/>
    <w:rsid w:val="00AC6F37"/>
    <w:rsid w:val="00AD3983"/>
    <w:rsid w:val="00AE1200"/>
    <w:rsid w:val="00AE64E3"/>
    <w:rsid w:val="00AE7637"/>
    <w:rsid w:val="00B05D88"/>
    <w:rsid w:val="00B06B2C"/>
    <w:rsid w:val="00B13D4C"/>
    <w:rsid w:val="00B20E73"/>
    <w:rsid w:val="00B25E48"/>
    <w:rsid w:val="00B40E6F"/>
    <w:rsid w:val="00B61569"/>
    <w:rsid w:val="00B64195"/>
    <w:rsid w:val="00B65D19"/>
    <w:rsid w:val="00B7707E"/>
    <w:rsid w:val="00B809A9"/>
    <w:rsid w:val="00B94F32"/>
    <w:rsid w:val="00BA3E94"/>
    <w:rsid w:val="00BF3134"/>
    <w:rsid w:val="00BF40FF"/>
    <w:rsid w:val="00C0131A"/>
    <w:rsid w:val="00C02A54"/>
    <w:rsid w:val="00C05019"/>
    <w:rsid w:val="00C05642"/>
    <w:rsid w:val="00C14BFB"/>
    <w:rsid w:val="00C44185"/>
    <w:rsid w:val="00C5339C"/>
    <w:rsid w:val="00C62CAD"/>
    <w:rsid w:val="00C64E46"/>
    <w:rsid w:val="00C76024"/>
    <w:rsid w:val="00C90959"/>
    <w:rsid w:val="00C938D8"/>
    <w:rsid w:val="00CB451E"/>
    <w:rsid w:val="00CB6D8D"/>
    <w:rsid w:val="00CC3C41"/>
    <w:rsid w:val="00CC5F4C"/>
    <w:rsid w:val="00CE1DD3"/>
    <w:rsid w:val="00D24420"/>
    <w:rsid w:val="00D34E46"/>
    <w:rsid w:val="00D5415E"/>
    <w:rsid w:val="00D7305A"/>
    <w:rsid w:val="00D9316C"/>
    <w:rsid w:val="00DB5D6E"/>
    <w:rsid w:val="00DD1097"/>
    <w:rsid w:val="00DE024B"/>
    <w:rsid w:val="00E12171"/>
    <w:rsid w:val="00E21851"/>
    <w:rsid w:val="00E22D13"/>
    <w:rsid w:val="00E458E8"/>
    <w:rsid w:val="00E571E0"/>
    <w:rsid w:val="00E57EDE"/>
    <w:rsid w:val="00E723CD"/>
    <w:rsid w:val="00E76FC7"/>
    <w:rsid w:val="00E93B07"/>
    <w:rsid w:val="00EE2F2F"/>
    <w:rsid w:val="00EF3247"/>
    <w:rsid w:val="00EF3A44"/>
    <w:rsid w:val="00EF43D2"/>
    <w:rsid w:val="00EF7681"/>
    <w:rsid w:val="00F14379"/>
    <w:rsid w:val="00F3189A"/>
    <w:rsid w:val="00F32254"/>
    <w:rsid w:val="00F3367A"/>
    <w:rsid w:val="00F83E66"/>
    <w:rsid w:val="00FC4ECD"/>
    <w:rsid w:val="00FC510E"/>
    <w:rsid w:val="00FE01B0"/>
    <w:rsid w:val="00FF2D29"/>
    <w:rsid w:val="070B125C"/>
    <w:rsid w:val="0A1F3C4C"/>
    <w:rsid w:val="0C54568F"/>
    <w:rsid w:val="0CA50833"/>
    <w:rsid w:val="10775C30"/>
    <w:rsid w:val="117B3B60"/>
    <w:rsid w:val="161708AA"/>
    <w:rsid w:val="16F41113"/>
    <w:rsid w:val="1DB47078"/>
    <w:rsid w:val="2224138C"/>
    <w:rsid w:val="23FC5410"/>
    <w:rsid w:val="26AC71A6"/>
    <w:rsid w:val="2F7838CE"/>
    <w:rsid w:val="32B03142"/>
    <w:rsid w:val="3F4B264F"/>
    <w:rsid w:val="4F9071D6"/>
    <w:rsid w:val="63147818"/>
    <w:rsid w:val="646F1658"/>
    <w:rsid w:val="68D7790C"/>
    <w:rsid w:val="6A6B466F"/>
    <w:rsid w:val="6CD76622"/>
    <w:rsid w:val="6DD218E2"/>
    <w:rsid w:val="7727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autoRedefine/>
    <w:unhideWhenUsed/>
    <w:qFormat/>
    <w:uiPriority w:val="99"/>
    <w:pPr>
      <w:jc w:val="left"/>
    </w:pPr>
    <w:rPr>
      <w:rFonts w:asciiTheme="minorHAnsi" w:hAnsiTheme="minorHAnsi" w:eastAsiaTheme="minorEastAsia" w:cstheme="minorBidi"/>
      <w:szCs w:val="22"/>
    </w:rPr>
  </w:style>
  <w:style w:type="paragraph" w:styleId="5">
    <w:name w:val="Body Text"/>
    <w:basedOn w:val="1"/>
    <w:link w:val="23"/>
    <w:autoRedefine/>
    <w:semiHidden/>
    <w:unhideWhenUsed/>
    <w:qFormat/>
    <w:uiPriority w:val="99"/>
    <w:pPr>
      <w:spacing w:after="120"/>
    </w:pPr>
  </w:style>
  <w:style w:type="paragraph" w:styleId="6">
    <w:name w:val="Block Text"/>
    <w:next w:val="5"/>
    <w:autoRedefine/>
    <w:qFormat/>
    <w:uiPriority w:val="0"/>
    <w:pPr>
      <w:widowControl w:val="0"/>
      <w:autoSpaceDE w:val="0"/>
      <w:autoSpaceDN w:val="0"/>
      <w:adjustRightInd w:val="0"/>
      <w:spacing w:line="360" w:lineRule="auto"/>
      <w:ind w:left="800" w:right="-55"/>
      <w:jc w:val="both"/>
      <w:textAlignment w:val="bottom"/>
    </w:pPr>
    <w:rPr>
      <w:rFonts w:ascii="宋体" w:hAnsi="Times New Roman" w:eastAsia="宋体" w:cs="Times New Roman"/>
      <w:spacing w:val="10"/>
      <w:sz w:val="24"/>
      <w:lang w:val="en-US" w:eastAsia="zh-CN" w:bidi="ar-SA"/>
    </w:rPr>
  </w:style>
  <w:style w:type="paragraph" w:styleId="7">
    <w:name w:val="Balloon Text"/>
    <w:basedOn w:val="1"/>
    <w:link w:val="29"/>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tabs>
        <w:tab w:val="center" w:pos="4153"/>
        <w:tab w:val="right" w:pos="8306"/>
      </w:tabs>
      <w:snapToGrid w:val="0"/>
      <w:jc w:val="center"/>
    </w:pPr>
    <w:rPr>
      <w:sz w:val="18"/>
      <w:szCs w:val="18"/>
    </w:rPr>
  </w:style>
  <w:style w:type="table" w:styleId="11">
    <w:name w:val="Table Grid"/>
    <w:basedOn w:val="10"/>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character" w:styleId="14">
    <w:name w:val="annotation reference"/>
    <w:basedOn w:val="12"/>
    <w:autoRedefine/>
    <w:semiHidden/>
    <w:unhideWhenUsed/>
    <w:qFormat/>
    <w:uiPriority w:val="99"/>
    <w:rPr>
      <w:sz w:val="21"/>
      <w:szCs w:val="21"/>
    </w:rPr>
  </w:style>
  <w:style w:type="paragraph" w:styleId="15">
    <w:name w:val="List Paragraph"/>
    <w:basedOn w:val="1"/>
    <w:link w:val="27"/>
    <w:autoRedefine/>
    <w:qFormat/>
    <w:uiPriority w:val="0"/>
    <w:pPr>
      <w:ind w:firstLine="420" w:firstLineChars="200"/>
    </w:pPr>
  </w:style>
  <w:style w:type="character" w:customStyle="1" w:styleId="16">
    <w:name w:val="标题 1 字符"/>
    <w:basedOn w:val="12"/>
    <w:link w:val="2"/>
    <w:autoRedefine/>
    <w:qFormat/>
    <w:uiPriority w:val="9"/>
    <w:rPr>
      <w:rFonts w:ascii="Times New Roman" w:hAnsi="Times New Roman" w:eastAsia="宋体" w:cs="Times New Roman"/>
      <w:b/>
      <w:bCs/>
      <w:kern w:val="44"/>
      <w:sz w:val="44"/>
      <w:szCs w:val="44"/>
    </w:rPr>
  </w:style>
  <w:style w:type="character" w:customStyle="1" w:styleId="17">
    <w:name w:val="页眉 字符"/>
    <w:basedOn w:val="12"/>
    <w:link w:val="9"/>
    <w:autoRedefine/>
    <w:qFormat/>
    <w:uiPriority w:val="99"/>
    <w:rPr>
      <w:rFonts w:ascii="Times New Roman" w:hAnsi="Times New Roman" w:eastAsia="宋体" w:cs="Times New Roman"/>
      <w:sz w:val="18"/>
      <w:szCs w:val="18"/>
    </w:rPr>
  </w:style>
  <w:style w:type="character" w:customStyle="1" w:styleId="18">
    <w:name w:val="页脚 字符"/>
    <w:basedOn w:val="12"/>
    <w:link w:val="8"/>
    <w:autoRedefine/>
    <w:qFormat/>
    <w:uiPriority w:val="99"/>
    <w:rPr>
      <w:rFonts w:ascii="Times New Roman" w:hAnsi="Times New Roman" w:eastAsia="宋体" w:cs="Times New Roman"/>
      <w:sz w:val="18"/>
      <w:szCs w:val="18"/>
    </w:rPr>
  </w:style>
  <w:style w:type="paragraph" w:customStyle="1" w:styleId="19">
    <w:name w:val="TOC 标题1"/>
    <w:basedOn w:val="2"/>
    <w:next w:val="1"/>
    <w:autoRedefine/>
    <w:unhideWhenUsed/>
    <w:qFormat/>
    <w:uiPriority w:val="39"/>
    <w:pPr>
      <w:widowControl/>
      <w:adjustRightInd w:val="0"/>
      <w:snapToGrid w:val="0"/>
      <w:spacing w:before="240" w:after="0" w:line="360" w:lineRule="auto"/>
      <w:jc w:val="left"/>
      <w:outlineLvl w:val="9"/>
    </w:pPr>
    <w:rPr>
      <w:rFonts w:ascii="仿宋" w:hAnsi="仿宋" w:eastAsia="仿宋" w:cstheme="majorBidi"/>
      <w:b w:val="0"/>
      <w:bCs w:val="0"/>
      <w:kern w:val="0"/>
      <w:sz w:val="24"/>
      <w:szCs w:val="24"/>
    </w:rPr>
  </w:style>
  <w:style w:type="character" w:customStyle="1" w:styleId="20">
    <w:name w:val="标题 2 字符"/>
    <w:basedOn w:val="12"/>
    <w:link w:val="3"/>
    <w:autoRedefine/>
    <w:qFormat/>
    <w:uiPriority w:val="9"/>
    <w:rPr>
      <w:rFonts w:asciiTheme="majorHAnsi" w:hAnsiTheme="majorHAnsi" w:eastAsiaTheme="majorEastAsia" w:cstheme="majorBidi"/>
      <w:b/>
      <w:bCs/>
      <w:kern w:val="2"/>
      <w:sz w:val="32"/>
      <w:szCs w:val="32"/>
    </w:rPr>
  </w:style>
  <w:style w:type="paragraph" w:customStyle="1" w:styleId="21">
    <w:name w:val="Normal_7_0"/>
    <w:autoRedefine/>
    <w:qFormat/>
    <w:uiPriority w:val="0"/>
    <w:pPr>
      <w:widowControl w:val="0"/>
      <w:jc w:val="both"/>
    </w:pPr>
    <w:rPr>
      <w:rFonts w:ascii="宋体" w:hAnsi="宋体" w:eastAsia="宋体" w:cs="宋体"/>
      <w:lang w:val="en-US" w:eastAsia="zh-CN" w:bidi="ar-SA"/>
    </w:rPr>
  </w:style>
  <w:style w:type="paragraph" w:customStyle="1" w:styleId="22">
    <w:name w:val="正文_0_0_0_0_1"/>
    <w:basedOn w:val="21"/>
    <w:autoRedefine/>
    <w:qFormat/>
    <w:uiPriority w:val="0"/>
    <w:rPr>
      <w:rFonts w:ascii="Times New Roman" w:hAnsi="Times New Roman" w:cs="Times New Roman"/>
      <w:sz w:val="24"/>
      <w:szCs w:val="24"/>
    </w:rPr>
  </w:style>
  <w:style w:type="character" w:customStyle="1" w:styleId="23">
    <w:name w:val="正文文本 字符"/>
    <w:basedOn w:val="12"/>
    <w:link w:val="5"/>
    <w:autoRedefine/>
    <w:semiHidden/>
    <w:qFormat/>
    <w:uiPriority w:val="99"/>
    <w:rPr>
      <w:rFonts w:ascii="Times New Roman" w:hAnsi="Times New Roman" w:eastAsia="宋体" w:cs="Times New Roman"/>
      <w:kern w:val="2"/>
      <w:sz w:val="21"/>
      <w:szCs w:val="24"/>
    </w:rPr>
  </w:style>
  <w:style w:type="paragraph" w:customStyle="1" w:styleId="24">
    <w:name w:val="正文_3_0"/>
    <w:autoRedefine/>
    <w:qFormat/>
    <w:uiPriority w:val="0"/>
    <w:pPr>
      <w:widowControl w:val="0"/>
      <w:jc w:val="both"/>
    </w:pPr>
    <w:rPr>
      <w:rFonts w:ascii="ZWAdobeF" w:hAnsi="ZWAdobeF" w:eastAsia="Cambria Math" w:cs="ZWAdobeF"/>
      <w:szCs w:val="24"/>
      <w:lang w:val="en-US" w:eastAsia="zh-CN" w:bidi="ar-SA"/>
    </w:rPr>
  </w:style>
  <w:style w:type="character" w:customStyle="1" w:styleId="25">
    <w:name w:val="明显强调1"/>
    <w:basedOn w:val="12"/>
    <w:autoRedefine/>
    <w:qFormat/>
    <w:uiPriority w:val="21"/>
    <w:rPr>
      <w:rFonts w:hint="eastAsia" w:ascii="宋体" w:hAnsi="宋体" w:eastAsia="宋体"/>
      <w:i/>
      <w:iCs/>
      <w:color w:val="FF0000"/>
      <w:sz w:val="21"/>
    </w:rPr>
  </w:style>
  <w:style w:type="paragraph" w:customStyle="1" w:styleId="26">
    <w:name w:val="Normal_2"/>
    <w:autoRedefine/>
    <w:qFormat/>
    <w:uiPriority w:val="0"/>
    <w:rPr>
      <w:rFonts w:ascii="Wingdings" w:hAnsi="Wingdings" w:eastAsia="宋体" w:cs="Wingdings"/>
      <w:sz w:val="24"/>
      <w:szCs w:val="24"/>
      <w:lang w:val="en-US" w:eastAsia="zh-CN" w:bidi="ar-SA"/>
    </w:rPr>
  </w:style>
  <w:style w:type="character" w:customStyle="1" w:styleId="27">
    <w:name w:val="列表段落 字符"/>
    <w:link w:val="15"/>
    <w:autoRedefine/>
    <w:qFormat/>
    <w:locked/>
    <w:uiPriority w:val="0"/>
    <w:rPr>
      <w:rFonts w:ascii="Times New Roman" w:hAnsi="Times New Roman" w:eastAsia="宋体" w:cs="Times New Roman"/>
      <w:kern w:val="2"/>
      <w:sz w:val="21"/>
      <w:szCs w:val="24"/>
    </w:rPr>
  </w:style>
  <w:style w:type="paragraph" w:customStyle="1" w:styleId="28">
    <w:name w:val="Normal_15_0"/>
    <w:basedOn w:val="1"/>
    <w:autoRedefine/>
    <w:qFormat/>
    <w:uiPriority w:val="0"/>
    <w:rPr>
      <w:rFonts w:ascii="宋体" w:hAnsi="宋体" w:cs="宋体"/>
      <w:kern w:val="0"/>
      <w:sz w:val="24"/>
    </w:rPr>
  </w:style>
  <w:style w:type="character" w:customStyle="1" w:styleId="29">
    <w:name w:val="批注框文本 字符"/>
    <w:basedOn w:val="12"/>
    <w:link w:val="7"/>
    <w:autoRedefine/>
    <w:semiHidden/>
    <w:qFormat/>
    <w:uiPriority w:val="99"/>
    <w:rPr>
      <w:rFonts w:ascii="Times New Roman" w:hAnsi="Times New Roman" w:eastAsia="宋体" w:cs="Times New Roman"/>
      <w:kern w:val="2"/>
      <w:sz w:val="18"/>
      <w:szCs w:val="18"/>
    </w:rPr>
  </w:style>
  <w:style w:type="character" w:customStyle="1" w:styleId="30">
    <w:name w:val="批注文字 字符"/>
    <w:basedOn w:val="12"/>
    <w:link w:val="4"/>
    <w:autoRedefine/>
    <w:qFormat/>
    <w:uiPriority w:val="99"/>
    <w:rPr>
      <w:kern w:val="2"/>
      <w:sz w:val="21"/>
      <w:szCs w:val="22"/>
    </w:rPr>
  </w:style>
  <w:style w:type="paragraph" w:customStyle="1" w:styleId="31">
    <w:name w:val="修订1"/>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74ED-DF14-4F30-9C82-933771210FEE}">
  <ds:schemaRefs/>
</ds:datastoreItem>
</file>

<file path=docProps/app.xml><?xml version="1.0" encoding="utf-8"?>
<Properties xmlns="http://schemas.openxmlformats.org/officeDocument/2006/extended-properties" xmlns:vt="http://schemas.openxmlformats.org/officeDocument/2006/docPropsVTypes">
  <Template>Normal.dotm</Template>
  <Company>wimxt.com</Company>
  <Pages>14</Pages>
  <Words>1116</Words>
  <Characters>6364</Characters>
  <Lines>53</Lines>
  <Paragraphs>14</Paragraphs>
  <TotalTime>78</TotalTime>
  <ScaleCrop>false</ScaleCrop>
  <LinksUpToDate>false</LinksUpToDate>
  <CharactersWithSpaces>7466</CharactersWithSpaces>
  <Application>WPS Office_12.8.2.21215_F1E327BC-269C-435d-A152-05C5408002CA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2025-01-11T17:14:00Z</dcterms:created>
  <dc:creator>朱柳柳</dc:creator>
  <cp:lastModifiedBy>Sun丶Zhiqiang</cp:lastModifiedBy>
  <dcterms:modified xsi:type="dcterms:W3CDTF">2025-09-30T02:31:02Z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2052-12.8.2.21215</vt:lpwstr>
  </property>
  <property fmtid="{D5CDD505-2E9C-101B-9397-08002B2CF9AE}" pid="3" name="ICV">
    <vt:lpwstr>E17F996D59124B34BAB0042199E648FA_13</vt:lpwstr>
  </property>
  <property fmtid="{D5CDD505-2E9C-101B-9397-08002B2CF9AE}" pid="4" name="KSOTemplateDocerSaveRecord">
    <vt:lpwstr>eyJoZGlkIjoiZjJiYzRjZDg4ODIxMmZkMzVjYzYxNzIzMDEwYjJjY2IiLCJ1c2VySWQiOiI0MjA1MTEzNDgifQ==</vt:lpwstr>
  </property>
</Properties>
</file>