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BF05B4">
      <w:pPr>
        <w:widowControl/>
        <w:jc w:val="right"/>
        <w:rPr>
          <w:rFonts w:ascii="仿宋" w:hAnsi="仿宋" w:eastAsia="仿宋"/>
          <w:b/>
          <w:sz w:val="36"/>
          <w:szCs w:val="36"/>
        </w:rPr>
      </w:pPr>
      <w:r>
        <w:rPr>
          <w:rFonts w:ascii="仿宋" w:hAnsi="仿宋" w:eastAsia="仿宋"/>
          <w:sz w:val="28"/>
          <w:szCs w:val="28"/>
        </w:rPr>
        <w:drawing>
          <wp:inline distT="0" distB="0" distL="0" distR="0">
            <wp:extent cx="1832610" cy="754380"/>
            <wp:effectExtent l="0" t="0" r="0" b="7620"/>
            <wp:docPr id="6" name="图片 6" descr="C:\Users\Administrator\AppData\Roaming\LarkShell-ka-kacrc\sdk_storage\134efbfa194702f6a7746a0d8018acdc\resources\images\img_v3_02hs_ef0353ef-ece9-4df6-bfb3-c01d8740343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AppData\Roaming\LarkShell-ka-kacrc\sdk_storage\134efbfa194702f6a7746a0d8018acdc\resources\images\img_v3_02hs_ef0353ef-ece9-4df6-bfb3-c01d8740343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45390" cy="759941"/>
                    </a:xfrm>
                    <a:prstGeom prst="rect">
                      <a:avLst/>
                    </a:prstGeom>
                    <a:noFill/>
                    <a:ln>
                      <a:noFill/>
                    </a:ln>
                  </pic:spPr>
                </pic:pic>
              </a:graphicData>
            </a:graphic>
          </wp:inline>
        </w:drawing>
      </w:r>
    </w:p>
    <w:p w14:paraId="0C08FD02">
      <w:pPr>
        <w:spacing w:line="720" w:lineRule="auto"/>
        <w:jc w:val="center"/>
        <w:rPr>
          <w:rFonts w:ascii="仿宋" w:hAnsi="仿宋" w:eastAsia="仿宋"/>
          <w:b/>
          <w:sz w:val="36"/>
          <w:szCs w:val="36"/>
        </w:rPr>
      </w:pPr>
    </w:p>
    <w:p w14:paraId="02F1A289">
      <w:pPr>
        <w:spacing w:line="720" w:lineRule="auto"/>
        <w:jc w:val="center"/>
        <w:rPr>
          <w:rFonts w:ascii="仿宋" w:hAnsi="仿宋" w:eastAsia="仿宋"/>
          <w:b/>
          <w:sz w:val="36"/>
          <w:szCs w:val="36"/>
        </w:rPr>
      </w:pPr>
    </w:p>
    <w:p w14:paraId="196F3E3E">
      <w:pPr>
        <w:spacing w:line="720" w:lineRule="auto"/>
        <w:jc w:val="center"/>
        <w:rPr>
          <w:rFonts w:ascii="仿宋" w:hAnsi="仿宋" w:eastAsia="仿宋"/>
          <w:b/>
          <w:sz w:val="52"/>
          <w:szCs w:val="52"/>
          <w:highlight w:val="none"/>
        </w:rPr>
      </w:pPr>
      <w:r>
        <w:rPr>
          <w:rFonts w:hint="eastAsia" w:ascii="仿宋" w:hAnsi="仿宋" w:eastAsia="仿宋"/>
          <w:b/>
          <w:sz w:val="52"/>
          <w:szCs w:val="52"/>
          <w:highlight w:val="none"/>
          <w:u w:val="single"/>
        </w:rPr>
        <w:t>计量器具委托检测与维护项目</w:t>
      </w:r>
    </w:p>
    <w:p w14:paraId="6D925ABB">
      <w:pPr>
        <w:spacing w:line="720" w:lineRule="auto"/>
        <w:jc w:val="center"/>
        <w:rPr>
          <w:rFonts w:ascii="仿宋" w:hAnsi="仿宋" w:eastAsia="仿宋"/>
          <w:b/>
          <w:sz w:val="36"/>
          <w:szCs w:val="36"/>
        </w:rPr>
      </w:pPr>
    </w:p>
    <w:p w14:paraId="5A4C1AB1">
      <w:pPr>
        <w:spacing w:line="720" w:lineRule="auto"/>
        <w:jc w:val="center"/>
        <w:rPr>
          <w:rFonts w:ascii="仿宋" w:hAnsi="仿宋" w:eastAsia="仿宋"/>
          <w:b/>
          <w:sz w:val="52"/>
          <w:szCs w:val="52"/>
        </w:rPr>
      </w:pPr>
      <w:r>
        <w:rPr>
          <w:rFonts w:hint="eastAsia" w:ascii="仿宋" w:hAnsi="仿宋" w:eastAsia="仿宋"/>
          <w:b/>
          <w:sz w:val="52"/>
          <w:szCs w:val="52"/>
        </w:rPr>
        <w:t>询比采购文件</w:t>
      </w:r>
    </w:p>
    <w:p w14:paraId="0049F995">
      <w:pPr>
        <w:spacing w:line="720" w:lineRule="auto"/>
        <w:jc w:val="center"/>
        <w:rPr>
          <w:rFonts w:ascii="仿宋" w:hAnsi="仿宋" w:eastAsia="仿宋"/>
          <w:b/>
          <w:sz w:val="36"/>
          <w:szCs w:val="36"/>
        </w:rPr>
      </w:pPr>
    </w:p>
    <w:p w14:paraId="0C2B9839">
      <w:pPr>
        <w:spacing w:line="720" w:lineRule="auto"/>
        <w:jc w:val="center"/>
        <w:rPr>
          <w:rFonts w:ascii="仿宋" w:hAnsi="仿宋" w:eastAsia="仿宋"/>
          <w:b/>
          <w:sz w:val="28"/>
          <w:szCs w:val="36"/>
        </w:rPr>
      </w:pPr>
    </w:p>
    <w:p w14:paraId="19D6C7E1">
      <w:pPr>
        <w:spacing w:line="720" w:lineRule="auto"/>
        <w:jc w:val="center"/>
        <w:rPr>
          <w:rFonts w:ascii="仿宋" w:hAnsi="仿宋" w:eastAsia="仿宋"/>
          <w:b/>
          <w:sz w:val="28"/>
          <w:szCs w:val="36"/>
        </w:rPr>
      </w:pPr>
    </w:p>
    <w:p w14:paraId="1C272BF3">
      <w:pPr>
        <w:spacing w:line="720" w:lineRule="auto"/>
        <w:jc w:val="center"/>
        <w:rPr>
          <w:rFonts w:ascii="仿宋" w:hAnsi="仿宋" w:eastAsia="仿宋"/>
          <w:b/>
          <w:sz w:val="28"/>
          <w:szCs w:val="36"/>
        </w:rPr>
      </w:pPr>
    </w:p>
    <w:p w14:paraId="4D207AAC">
      <w:pPr>
        <w:spacing w:line="480" w:lineRule="auto"/>
        <w:jc w:val="center"/>
        <w:rPr>
          <w:rFonts w:ascii="仿宋" w:hAnsi="仿宋" w:eastAsia="仿宋"/>
          <w:b/>
          <w:sz w:val="28"/>
          <w:szCs w:val="36"/>
        </w:rPr>
      </w:pPr>
      <w:r>
        <w:rPr>
          <w:rFonts w:hint="eastAsia" w:ascii="仿宋" w:hAnsi="仿宋" w:eastAsia="仿宋"/>
          <w:b/>
          <w:sz w:val="28"/>
          <w:szCs w:val="36"/>
        </w:rPr>
        <w:t>采购人：</w:t>
      </w:r>
      <w:r>
        <w:rPr>
          <w:rFonts w:hint="eastAsia" w:ascii="仿宋" w:hAnsi="仿宋" w:eastAsia="仿宋"/>
          <w:b/>
          <w:sz w:val="28"/>
          <w:szCs w:val="36"/>
          <w:highlight w:val="none"/>
        </w:rPr>
        <w:t>阜阳华润燃气有限公司</w:t>
      </w:r>
    </w:p>
    <w:p w14:paraId="36C03E3A">
      <w:pPr>
        <w:jc w:val="center"/>
        <w:rPr>
          <w:rFonts w:ascii="仿宋" w:hAnsi="仿宋" w:eastAsia="仿宋"/>
          <w:b/>
          <w:sz w:val="28"/>
          <w:szCs w:val="36"/>
          <w:u w:val="single"/>
        </w:rPr>
      </w:pPr>
      <w:r>
        <w:rPr>
          <w:rFonts w:hint="eastAsia" w:ascii="仿宋" w:hAnsi="仿宋" w:eastAsia="仿宋"/>
          <w:b/>
          <w:sz w:val="28"/>
          <w:szCs w:val="36"/>
        </w:rPr>
        <w:t>日期：</w:t>
      </w:r>
      <w:r>
        <w:rPr>
          <w:rFonts w:hint="eastAsia" w:ascii="仿宋" w:hAnsi="仿宋" w:eastAsia="仿宋"/>
          <w:b/>
          <w:sz w:val="28"/>
          <w:szCs w:val="36"/>
          <w:highlight w:val="none"/>
          <w:u w:val="single"/>
        </w:rPr>
        <w:t>20</w:t>
      </w:r>
      <w:r>
        <w:rPr>
          <w:rFonts w:hint="eastAsia" w:ascii="仿宋" w:hAnsi="仿宋" w:eastAsia="仿宋"/>
          <w:b/>
          <w:sz w:val="28"/>
          <w:szCs w:val="36"/>
          <w:highlight w:val="none"/>
          <w:u w:val="single"/>
          <w:lang w:val="en-US" w:eastAsia="zh-CN"/>
        </w:rPr>
        <w:t>25</w:t>
      </w:r>
      <w:r>
        <w:rPr>
          <w:rFonts w:hint="eastAsia" w:ascii="仿宋" w:hAnsi="仿宋" w:eastAsia="仿宋"/>
          <w:b/>
          <w:sz w:val="28"/>
          <w:szCs w:val="36"/>
          <w:highlight w:val="none"/>
          <w:u w:val="single"/>
        </w:rPr>
        <w:t>年</w:t>
      </w:r>
      <w:r>
        <w:rPr>
          <w:rFonts w:hint="eastAsia" w:ascii="仿宋" w:hAnsi="仿宋" w:eastAsia="仿宋"/>
          <w:b/>
          <w:sz w:val="28"/>
          <w:szCs w:val="36"/>
          <w:highlight w:val="none"/>
          <w:u w:val="single"/>
          <w:lang w:val="en-US" w:eastAsia="zh-CN"/>
        </w:rPr>
        <w:t xml:space="preserve"> </w:t>
      </w:r>
      <w:r>
        <w:rPr>
          <w:rFonts w:hint="eastAsia" w:ascii="仿宋" w:hAnsi="仿宋" w:eastAsia="仿宋"/>
          <w:b/>
          <w:sz w:val="28"/>
          <w:szCs w:val="36"/>
          <w:highlight w:val="none"/>
          <w:u w:val="single"/>
        </w:rPr>
        <w:t>月</w:t>
      </w:r>
      <w:r>
        <w:rPr>
          <w:rFonts w:hint="eastAsia" w:ascii="仿宋" w:hAnsi="仿宋" w:eastAsia="仿宋"/>
          <w:b/>
          <w:sz w:val="28"/>
          <w:szCs w:val="36"/>
          <w:highlight w:val="none"/>
          <w:u w:val="single"/>
          <w:lang w:val="en-US" w:eastAsia="zh-CN"/>
        </w:rPr>
        <w:t xml:space="preserve"> </w:t>
      </w:r>
      <w:r>
        <w:rPr>
          <w:rFonts w:hint="eastAsia" w:ascii="仿宋" w:hAnsi="仿宋" w:eastAsia="仿宋"/>
          <w:b/>
          <w:sz w:val="28"/>
          <w:szCs w:val="36"/>
          <w:highlight w:val="none"/>
          <w:u w:val="single"/>
        </w:rPr>
        <w:t>日</w:t>
      </w:r>
    </w:p>
    <w:p w14:paraId="2D2E0257">
      <w:pPr>
        <w:widowControl/>
        <w:jc w:val="left"/>
      </w:pPr>
      <w:r>
        <w:br w:type="page"/>
      </w:r>
    </w:p>
    <w:p w14:paraId="18C00EE6">
      <w:pPr>
        <w:autoSpaceDE w:val="0"/>
        <w:autoSpaceDN w:val="0"/>
        <w:adjustRightInd w:val="0"/>
        <w:jc w:val="center"/>
        <w:rPr>
          <w:rFonts w:ascii="仿宋" w:hAnsi="仿宋" w:eastAsia="仿宋" w:cs="华文中宋"/>
          <w:b/>
          <w:kern w:val="0"/>
          <w:sz w:val="32"/>
          <w:szCs w:val="32"/>
        </w:rPr>
      </w:pPr>
      <w:r>
        <w:rPr>
          <w:rFonts w:hint="eastAsia" w:ascii="仿宋" w:hAnsi="仿宋" w:eastAsia="仿宋" w:cs="华文中宋"/>
          <w:b/>
          <w:kern w:val="0"/>
          <w:sz w:val="32"/>
          <w:szCs w:val="32"/>
        </w:rPr>
        <w:t>廉洁从业准则</w:t>
      </w:r>
    </w:p>
    <w:p w14:paraId="1BCAAA5C">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第一条</w:t>
      </w:r>
      <w:r>
        <w:rPr>
          <w:rFonts w:ascii="仿宋" w:hAnsi="仿宋" w:eastAsia="仿宋" w:cs="仿宋_GB2312"/>
          <w:kern w:val="0"/>
          <w:sz w:val="24"/>
        </w:rPr>
        <w:t xml:space="preserve"> 公司的招标采购活动应当依照《招标投标法》《招标投标法实施条例》</w:t>
      </w:r>
      <w:r>
        <w:rPr>
          <w:rFonts w:hint="eastAsia" w:ascii="仿宋" w:hAnsi="仿宋" w:eastAsia="仿宋" w:cs="仿宋_GB2312"/>
          <w:kern w:val="0"/>
          <w:sz w:val="24"/>
        </w:rPr>
        <w:t>以及华润集团、本制度的相关规定接受监督。</w:t>
      </w:r>
    </w:p>
    <w:p w14:paraId="2B0708CA">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第二条</w:t>
      </w:r>
      <w:r>
        <w:rPr>
          <w:rFonts w:ascii="仿宋" w:hAnsi="仿宋" w:eastAsia="仿宋" w:cs="仿宋_GB2312"/>
          <w:kern w:val="0"/>
          <w:sz w:val="24"/>
        </w:rPr>
        <w:t xml:space="preserve"> 维护公平竞争，禁止下列行为：</w:t>
      </w:r>
    </w:p>
    <w:p w14:paraId="4E5AA5F5">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（一）违法或者以不合理条件限制或者排斥本地区、本系统以外的法人或者其他组织参加投标；</w:t>
      </w:r>
    </w:p>
    <w:p w14:paraId="5631E93D">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（二）对潜在投标人实行歧视待遇；</w:t>
      </w:r>
    </w:p>
    <w:p w14:paraId="6EEA1F1B">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（三）接受应当拒收的投标文件；</w:t>
      </w:r>
    </w:p>
    <w:p w14:paraId="5299A750">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（四）收受投标人的好处费、回扣、现金及有价证券、支付凭证、贵重礼品等；</w:t>
      </w:r>
    </w:p>
    <w:p w14:paraId="2DFD5865">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（五）接受投标人的宴请、娱乐、体育、休闲、旅游活动；</w:t>
      </w:r>
    </w:p>
    <w:p w14:paraId="03554F01">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（六）在投标人报销任何费用；</w:t>
      </w:r>
    </w:p>
    <w:p w14:paraId="419F64D0">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（七）接收投标人任何名义的住房、交通工具、通讯工具、家电、高档办公用品等物品；</w:t>
      </w:r>
    </w:p>
    <w:p w14:paraId="47B93672">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（八）接收投标人的家庭装修、婚丧嫁娶、工作安排、出国、留学等资金或物资资助；</w:t>
      </w:r>
    </w:p>
    <w:p w14:paraId="77A89312">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（九）其他限制正当竞争的行为。</w:t>
      </w:r>
    </w:p>
    <w:p w14:paraId="77797C87">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第三条</w:t>
      </w:r>
      <w:r>
        <w:rPr>
          <w:rFonts w:ascii="仿宋" w:hAnsi="仿宋" w:eastAsia="仿宋" w:cs="仿宋_GB2312"/>
          <w:kern w:val="0"/>
          <w:sz w:val="24"/>
        </w:rPr>
        <w:t xml:space="preserve"> 履行保密义务，禁止下列行为：</w:t>
      </w:r>
    </w:p>
    <w:p w14:paraId="3DA5FECF">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（一）向投标人泄露评标委员会成员名单；</w:t>
      </w:r>
    </w:p>
    <w:p w14:paraId="39455760">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（二）向投标人透漏投标文件的评审情况、中标候选人的推荐意见以及与确定中标人等其他情况；</w:t>
      </w:r>
    </w:p>
    <w:p w14:paraId="0330B69B">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（三）其他违反保密规定的行为。</w:t>
      </w:r>
    </w:p>
    <w:p w14:paraId="4A99A1CD">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第四条</w:t>
      </w:r>
      <w:r>
        <w:rPr>
          <w:rFonts w:ascii="仿宋" w:hAnsi="仿宋" w:eastAsia="仿宋" w:cs="仿宋_GB2312"/>
          <w:kern w:val="0"/>
          <w:sz w:val="24"/>
        </w:rPr>
        <w:t xml:space="preserve"> 遵守回避制度，禁止下列行为:</w:t>
      </w:r>
    </w:p>
    <w:p w14:paraId="285F7563">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（一）为个人及亲属谋求私利，明知本人亲属或者其他利害关系人直接或间接参与本项目的投标，不主动回避的；</w:t>
      </w:r>
    </w:p>
    <w:p w14:paraId="3C8F4877">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（二）招标采购工作人员如有亲属在响应供应商工作的，应在该项招标采购活动中予以回避；</w:t>
      </w:r>
    </w:p>
    <w:p w14:paraId="0F4204D8">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（三）其他违反回避制度规定的行为。</w:t>
      </w:r>
    </w:p>
    <w:p w14:paraId="3D3F0A82">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第五条</w:t>
      </w:r>
      <w:r>
        <w:rPr>
          <w:rFonts w:ascii="仿宋" w:hAnsi="仿宋" w:eastAsia="仿宋" w:cs="仿宋_GB2312"/>
          <w:kern w:val="0"/>
          <w:sz w:val="24"/>
        </w:rPr>
        <w:t xml:space="preserve"> 执行招标结果，禁止下列行为：</w:t>
      </w:r>
    </w:p>
    <w:p w14:paraId="2611D279">
      <w:pPr>
        <w:spacing w:line="360" w:lineRule="auto"/>
        <w:ind w:firstLine="480" w:firstLineChars="200"/>
        <w:rPr>
          <w:rFonts w:ascii="仿宋" w:hAnsi="仿宋" w:eastAsia="仿宋" w:cs="仿宋_GB2312"/>
          <w:kern w:val="0"/>
          <w:sz w:val="24"/>
        </w:rPr>
      </w:pPr>
      <w:r>
        <w:rPr>
          <w:rFonts w:ascii="仿宋" w:hAnsi="仿宋" w:eastAsia="仿宋" w:cs="仿宋_GB2312"/>
          <w:kern w:val="0"/>
          <w:sz w:val="24"/>
        </w:rPr>
        <w:t>（一）无正当理由不发出中标通知书；</w:t>
      </w:r>
    </w:p>
    <w:p w14:paraId="6DC45F29">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（二）不按照法律法规和招标文件规定确定中标人；</w:t>
      </w:r>
    </w:p>
    <w:p w14:paraId="6C4BBC19">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（三）中标通知书发出后无正当理由改变中标结果；</w:t>
      </w:r>
    </w:p>
    <w:p w14:paraId="7AE43396">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（四）无正当理由不与中标人订立合同；</w:t>
      </w:r>
    </w:p>
    <w:p w14:paraId="348D0B5C">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（五）在订立合同时背离招标投标确定的合同实质性内容或者向中标人提出附加条件；</w:t>
      </w:r>
    </w:p>
    <w:p w14:paraId="6C333C2E">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（六）不完整或者采取其他变通手段变相不执行招标中标结果。</w:t>
      </w:r>
    </w:p>
    <w:p w14:paraId="53C180FA">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第六条</w:t>
      </w:r>
      <w:r>
        <w:rPr>
          <w:rFonts w:ascii="仿宋" w:hAnsi="仿宋" w:eastAsia="仿宋" w:cs="仿宋_GB2312"/>
          <w:kern w:val="0"/>
          <w:sz w:val="24"/>
        </w:rPr>
        <w:t xml:space="preserve"> 对违反本制度规定的公司员工，由公司责任追究部门进行责任追究，</w:t>
      </w:r>
      <w:r>
        <w:rPr>
          <w:rFonts w:hint="eastAsia" w:ascii="仿宋" w:hAnsi="仿宋" w:eastAsia="仿宋" w:cs="仿宋_GB2312"/>
          <w:kern w:val="0"/>
          <w:sz w:val="24"/>
        </w:rPr>
        <w:t>或者由公司纪检监察部门负责追究相关的责任；触犯党纪的，按照党的纪律处分条例处理；涉嫌犯罪的，交由司法机关依法追究其刑事责任。</w:t>
      </w:r>
    </w:p>
    <w:p w14:paraId="367EB65E">
      <w:pPr>
        <w:widowControl/>
        <w:jc w:val="left"/>
      </w:pPr>
      <w:r>
        <w:br w:type="page"/>
      </w:r>
    </w:p>
    <w:p w14:paraId="2CADEBE5">
      <w:pPr>
        <w:pStyle w:val="2"/>
        <w:tabs>
          <w:tab w:val="left" w:pos="3686"/>
        </w:tabs>
        <w:adjustRightInd w:val="0"/>
        <w:snapToGrid w:val="0"/>
        <w:spacing w:before="0" w:after="0" w:line="360" w:lineRule="auto"/>
        <w:jc w:val="center"/>
        <w:rPr>
          <w:rFonts w:eastAsia="仿宋"/>
          <w:sz w:val="28"/>
        </w:rPr>
      </w:pPr>
      <w:r>
        <w:rPr>
          <w:rFonts w:hint="eastAsia" w:eastAsia="仿宋"/>
          <w:sz w:val="28"/>
        </w:rPr>
        <w:t>第一卷 响应供应商须知</w:t>
      </w:r>
    </w:p>
    <w:p w14:paraId="04E58059">
      <w:pPr>
        <w:spacing w:line="360" w:lineRule="auto"/>
        <w:ind w:firstLine="480" w:firstLineChars="200"/>
        <w:rPr>
          <w:rFonts w:ascii="仿宋" w:hAnsi="仿宋" w:eastAsia="仿宋"/>
          <w:sz w:val="24"/>
        </w:rPr>
      </w:pPr>
      <w:r>
        <w:rPr>
          <w:rFonts w:hint="eastAsia" w:ascii="仿宋" w:hAnsi="仿宋" w:eastAsia="仿宋"/>
          <w:sz w:val="24"/>
          <w:highlight w:val="none"/>
        </w:rPr>
        <w:t>计量器具委托检测与维护项目</w:t>
      </w:r>
      <w:r>
        <w:rPr>
          <w:rFonts w:hint="eastAsia" w:ascii="仿宋" w:hAnsi="仿宋" w:eastAsia="仿宋"/>
          <w:sz w:val="24"/>
        </w:rPr>
        <w:t>已具备采购条件，现组织开展本次采购活动</w:t>
      </w:r>
      <w:bookmarkStart w:id="0" w:name="_Hlk122297139"/>
      <w:r>
        <w:rPr>
          <w:rFonts w:hint="eastAsia" w:ascii="仿宋" w:hAnsi="仿宋" w:eastAsia="仿宋"/>
          <w:sz w:val="24"/>
        </w:rPr>
        <w:t>，具体需求见采购需求及报价一览表，请贵单位在响应文件提交截止时间</w:t>
      </w:r>
      <w:r>
        <w:rPr>
          <w:rFonts w:hint="eastAsia" w:ascii="仿宋" w:hAnsi="仿宋" w:eastAsia="仿宋"/>
          <w:sz w:val="24"/>
          <w:lang w:val="en-US" w:eastAsia="zh-CN"/>
        </w:rPr>
        <w:t>前以密封涵报价单形式邮寄至阜阳华润燃气有限公司客户服务部</w:t>
      </w:r>
      <w:r>
        <w:rPr>
          <w:rFonts w:hint="eastAsia" w:ascii="仿宋" w:hAnsi="仿宋" w:eastAsia="仿宋"/>
          <w:sz w:val="24"/>
        </w:rPr>
        <w:t>。</w:t>
      </w:r>
    </w:p>
    <w:p w14:paraId="4A78AAC9">
      <w:pPr>
        <w:pStyle w:val="3"/>
        <w:numPr>
          <w:ilvl w:val="0"/>
          <w:numId w:val="1"/>
        </w:numPr>
        <w:adjustRightInd w:val="0"/>
        <w:snapToGrid w:val="0"/>
        <w:spacing w:before="120" w:after="120" w:line="360" w:lineRule="auto"/>
        <w:ind w:left="0" w:firstLine="0"/>
        <w:jc w:val="left"/>
        <w:rPr>
          <w:rFonts w:eastAsia="仿宋"/>
          <w:sz w:val="24"/>
        </w:rPr>
      </w:pPr>
      <w:r>
        <w:rPr>
          <w:rFonts w:hint="eastAsia" w:eastAsia="仿宋"/>
          <w:sz w:val="24"/>
        </w:rPr>
        <w:t>采购需求</w:t>
      </w:r>
    </w:p>
    <w:p w14:paraId="679C6030">
      <w:pPr>
        <w:spacing w:line="360" w:lineRule="auto"/>
        <w:ind w:firstLine="480" w:firstLineChars="200"/>
        <w:jc w:val="left"/>
        <w:rPr>
          <w:rFonts w:hint="default" w:ascii="仿宋" w:hAnsi="仿宋" w:eastAsia="仿宋"/>
          <w:sz w:val="24"/>
          <w:highlight w:val="none"/>
          <w:lang w:val="en-US" w:eastAsia="zh-CN"/>
        </w:rPr>
      </w:pPr>
      <w:r>
        <w:rPr>
          <w:rFonts w:hint="eastAsia" w:ascii="仿宋" w:hAnsi="仿宋" w:eastAsia="仿宋"/>
          <w:sz w:val="24"/>
          <w:highlight w:val="none"/>
          <w:lang w:val="en-US" w:eastAsia="zh-CN"/>
        </w:rPr>
        <w:t>2025-2027年2年度计量器具检测与维护。</w:t>
      </w:r>
    </w:p>
    <w:p w14:paraId="2369E96C">
      <w:pPr>
        <w:pStyle w:val="3"/>
        <w:numPr>
          <w:ilvl w:val="0"/>
          <w:numId w:val="1"/>
        </w:numPr>
        <w:adjustRightInd w:val="0"/>
        <w:snapToGrid w:val="0"/>
        <w:spacing w:before="120" w:after="120" w:line="360" w:lineRule="auto"/>
        <w:ind w:left="0" w:firstLine="0"/>
        <w:jc w:val="left"/>
        <w:rPr>
          <w:rFonts w:eastAsia="仿宋"/>
          <w:sz w:val="24"/>
        </w:rPr>
      </w:pPr>
      <w:r>
        <w:rPr>
          <w:rFonts w:hint="eastAsia" w:eastAsia="仿宋"/>
          <w:sz w:val="24"/>
        </w:rPr>
        <w:t>成交人数量与成交结果适用范围</w:t>
      </w:r>
    </w:p>
    <w:p w14:paraId="01D377E2">
      <w:pPr>
        <w:pStyle w:val="15"/>
        <w:numPr>
          <w:ilvl w:val="3"/>
          <w:numId w:val="2"/>
        </w:numPr>
        <w:adjustRightInd w:val="0"/>
        <w:snapToGrid w:val="0"/>
        <w:spacing w:line="360" w:lineRule="auto"/>
        <w:ind w:left="0" w:firstLine="480"/>
        <w:rPr>
          <w:rFonts w:ascii="仿宋" w:hAnsi="仿宋" w:eastAsia="仿宋"/>
          <w:sz w:val="24"/>
        </w:rPr>
      </w:pPr>
      <w:bookmarkStart w:id="1" w:name="OLE_LINK19"/>
      <w:bookmarkStart w:id="2" w:name="OLE_LINK20"/>
      <w:r>
        <w:rPr>
          <w:rFonts w:hint="eastAsia" w:ascii="仿宋" w:hAnsi="仿宋" w:eastAsia="仿宋"/>
          <w:sz w:val="24"/>
        </w:rPr>
        <w:t>本项目选取</w:t>
      </w:r>
      <w:r>
        <w:rPr>
          <w:rFonts w:ascii="仿宋" w:hAnsi="仿宋" w:eastAsia="仿宋"/>
          <w:sz w:val="24"/>
          <w:highlight w:val="none"/>
        </w:rPr>
        <w:t>1</w:t>
      </w:r>
      <w:r>
        <w:rPr>
          <w:rFonts w:hint="eastAsia" w:ascii="仿宋" w:hAnsi="仿宋" w:eastAsia="仿宋"/>
          <w:sz w:val="24"/>
          <w:highlight w:val="none"/>
        </w:rPr>
        <w:t>名</w:t>
      </w:r>
      <w:r>
        <w:rPr>
          <w:rFonts w:hint="eastAsia" w:ascii="仿宋" w:hAnsi="仿宋" w:eastAsia="仿宋"/>
          <w:sz w:val="24"/>
        </w:rPr>
        <w:t>成交人。</w:t>
      </w:r>
      <w:bookmarkEnd w:id="1"/>
      <w:bookmarkEnd w:id="2"/>
      <w:bookmarkStart w:id="3" w:name="OLE_LINK44"/>
      <w:bookmarkStart w:id="4" w:name="OLE_LINK45"/>
    </w:p>
    <w:p w14:paraId="0CDB7CA6">
      <w:pPr>
        <w:pStyle w:val="15"/>
        <w:numPr>
          <w:ilvl w:val="3"/>
          <w:numId w:val="2"/>
        </w:numPr>
        <w:adjustRightInd w:val="0"/>
        <w:snapToGrid w:val="0"/>
        <w:spacing w:line="360" w:lineRule="auto"/>
        <w:ind w:left="0" w:firstLine="480"/>
        <w:rPr>
          <w:rFonts w:ascii="仿宋" w:hAnsi="仿宋" w:eastAsia="仿宋"/>
          <w:sz w:val="24"/>
        </w:rPr>
      </w:pPr>
      <w:r>
        <w:rPr>
          <w:rFonts w:hint="eastAsia" w:ascii="仿宋" w:hAnsi="仿宋" w:eastAsia="仿宋"/>
          <w:sz w:val="24"/>
        </w:rPr>
        <w:t>成交人需按照采购文件要求为采购人提供服务，由</w:t>
      </w:r>
      <w:r>
        <w:rPr>
          <w:rFonts w:hint="eastAsia" w:ascii="仿宋" w:hAnsi="仿宋" w:eastAsia="仿宋"/>
          <w:sz w:val="24"/>
          <w:highlight w:val="none"/>
        </w:rPr>
        <w:t>公司法人主体</w:t>
      </w:r>
      <w:r>
        <w:rPr>
          <w:rFonts w:hint="eastAsia" w:ascii="仿宋" w:hAnsi="仿宋" w:eastAsia="仿宋"/>
          <w:sz w:val="24"/>
        </w:rPr>
        <w:t>进行合同签订。</w:t>
      </w:r>
    </w:p>
    <w:p w14:paraId="5C194C77">
      <w:pPr>
        <w:pStyle w:val="3"/>
        <w:numPr>
          <w:ilvl w:val="0"/>
          <w:numId w:val="1"/>
        </w:numPr>
        <w:adjustRightInd w:val="0"/>
        <w:snapToGrid w:val="0"/>
        <w:spacing w:before="120" w:after="120" w:line="360" w:lineRule="auto"/>
        <w:ind w:left="0" w:firstLine="0"/>
        <w:jc w:val="left"/>
        <w:rPr>
          <w:rFonts w:eastAsia="仿宋"/>
          <w:sz w:val="24"/>
        </w:rPr>
      </w:pPr>
      <w:r>
        <w:rPr>
          <w:rFonts w:hint="eastAsia" w:eastAsia="仿宋"/>
          <w:sz w:val="24"/>
        </w:rPr>
        <w:t>联系方式与响应文件提交截止时间</w:t>
      </w:r>
    </w:p>
    <w:p w14:paraId="5D79C048">
      <w:pPr>
        <w:spacing w:line="360" w:lineRule="auto"/>
        <w:ind w:firstLine="480" w:firstLineChars="200"/>
        <w:rPr>
          <w:rFonts w:ascii="仿宋" w:hAnsi="仿宋" w:eastAsia="仿宋"/>
          <w:sz w:val="24"/>
        </w:rPr>
      </w:pPr>
      <w:r>
        <w:rPr>
          <w:rFonts w:hint="eastAsia" w:ascii="仿宋" w:hAnsi="仿宋" w:eastAsia="仿宋"/>
          <w:sz w:val="24"/>
        </w:rPr>
        <w:t>采购人：</w:t>
      </w:r>
      <w:r>
        <w:rPr>
          <w:rFonts w:hint="eastAsia" w:ascii="仿宋" w:hAnsi="仿宋" w:eastAsia="仿宋"/>
          <w:sz w:val="24"/>
          <w:highlight w:val="none"/>
          <w:lang w:val="en-US" w:eastAsia="zh-CN"/>
        </w:rPr>
        <w:t>阜阳</w:t>
      </w:r>
      <w:r>
        <w:rPr>
          <w:rFonts w:hint="eastAsia" w:ascii="仿宋" w:hAnsi="仿宋" w:eastAsia="仿宋"/>
          <w:sz w:val="24"/>
        </w:rPr>
        <w:t>华润燃气有限公司</w:t>
      </w:r>
    </w:p>
    <w:p w14:paraId="6C1C8753">
      <w:pPr>
        <w:spacing w:line="360" w:lineRule="auto"/>
        <w:ind w:firstLine="480" w:firstLineChars="200"/>
        <w:rPr>
          <w:rFonts w:hint="default" w:ascii="仿宋" w:hAnsi="仿宋" w:eastAsia="仿宋"/>
          <w:sz w:val="24"/>
          <w:lang w:val="en-US" w:eastAsia="zh-CN"/>
        </w:rPr>
      </w:pPr>
      <w:r>
        <w:rPr>
          <w:rFonts w:hint="eastAsia" w:ascii="仿宋" w:hAnsi="仿宋" w:eastAsia="仿宋"/>
          <w:sz w:val="24"/>
        </w:rPr>
        <w:t>地址：</w:t>
      </w:r>
      <w:r>
        <w:rPr>
          <w:rFonts w:hint="eastAsia" w:ascii="仿宋" w:hAnsi="仿宋" w:eastAsia="仿宋"/>
          <w:sz w:val="24"/>
          <w:lang w:val="en-US" w:eastAsia="zh-CN"/>
        </w:rPr>
        <w:t>安徽省阜阳市颍州区阜阳合肥现代产业园区翡翠湖路17号</w:t>
      </w:r>
    </w:p>
    <w:p w14:paraId="51CFAFDD">
      <w:pPr>
        <w:spacing w:line="360" w:lineRule="auto"/>
        <w:ind w:firstLine="480" w:firstLineChars="200"/>
        <w:rPr>
          <w:rFonts w:ascii="仿宋" w:hAnsi="仿宋" w:eastAsia="仿宋"/>
          <w:sz w:val="24"/>
        </w:rPr>
      </w:pPr>
      <w:r>
        <w:rPr>
          <w:rFonts w:hint="eastAsia" w:ascii="仿宋" w:hAnsi="仿宋" w:eastAsia="仿宋"/>
          <w:sz w:val="24"/>
        </w:rPr>
        <w:t>若各供应商有疑问请与以下人员联系：</w:t>
      </w:r>
    </w:p>
    <w:p w14:paraId="71E919A7">
      <w:pPr>
        <w:spacing w:line="360" w:lineRule="auto"/>
        <w:ind w:firstLine="480" w:firstLineChars="200"/>
        <w:rPr>
          <w:rFonts w:hint="default" w:ascii="仿宋" w:hAnsi="仿宋" w:eastAsia="仿宋"/>
          <w:i/>
          <w:iCs/>
          <w:color w:val="FF0000"/>
          <w:sz w:val="24"/>
          <w:highlight w:val="none"/>
          <w:lang w:val="en-US" w:eastAsia="zh-CN"/>
        </w:rPr>
      </w:pPr>
      <w:r>
        <w:rPr>
          <w:rFonts w:hint="eastAsia" w:ascii="仿宋" w:hAnsi="仿宋" w:eastAsia="仿宋"/>
          <w:sz w:val="24"/>
        </w:rPr>
        <w:t>联系人：</w:t>
      </w:r>
      <w:r>
        <w:rPr>
          <w:rFonts w:hint="eastAsia" w:ascii="仿宋" w:hAnsi="仿宋" w:eastAsia="仿宋"/>
          <w:sz w:val="24"/>
          <w:lang w:val="en-US" w:eastAsia="zh-CN"/>
        </w:rPr>
        <w:t>毛鹏鸽</w:t>
      </w:r>
      <w:r>
        <w:rPr>
          <w:rFonts w:hint="eastAsia" w:ascii="仿宋" w:hAnsi="仿宋" w:eastAsia="仿宋"/>
          <w:sz w:val="24"/>
        </w:rPr>
        <w:t xml:space="preserve">    联系方式</w:t>
      </w:r>
      <w:r>
        <w:rPr>
          <w:rFonts w:hint="eastAsia" w:ascii="仿宋" w:hAnsi="仿宋" w:eastAsia="仿宋"/>
          <w:sz w:val="24"/>
          <w:highlight w:val="none"/>
        </w:rPr>
        <w:t>：</w:t>
      </w:r>
      <w:r>
        <w:rPr>
          <w:rFonts w:hint="eastAsia" w:ascii="仿宋" w:hAnsi="仿宋" w:eastAsia="仿宋"/>
          <w:sz w:val="24"/>
          <w:highlight w:val="none"/>
          <w:lang w:val="en-US" w:eastAsia="zh-CN"/>
        </w:rPr>
        <w:t>15703755308</w:t>
      </w:r>
    </w:p>
    <w:p w14:paraId="27CE4CBC">
      <w:pPr>
        <w:spacing w:line="360" w:lineRule="auto"/>
        <w:ind w:firstLine="480" w:firstLineChars="200"/>
        <w:rPr>
          <w:rFonts w:ascii="仿宋" w:hAnsi="仿宋" w:eastAsia="仿宋"/>
          <w:sz w:val="24"/>
        </w:rPr>
      </w:pPr>
      <w:r>
        <w:rPr>
          <w:rFonts w:hint="eastAsia" w:ascii="仿宋" w:hAnsi="仿宋" w:eastAsia="仿宋"/>
          <w:sz w:val="24"/>
        </w:rPr>
        <w:t>响应文件提交截止时间：见采购公告/邀请书</w:t>
      </w:r>
    </w:p>
    <w:bookmarkEnd w:id="3"/>
    <w:bookmarkEnd w:id="4"/>
    <w:p w14:paraId="377C0A9F">
      <w:pPr>
        <w:pStyle w:val="3"/>
        <w:numPr>
          <w:ilvl w:val="0"/>
          <w:numId w:val="1"/>
        </w:numPr>
        <w:adjustRightInd w:val="0"/>
        <w:snapToGrid w:val="0"/>
        <w:spacing w:before="120" w:after="120" w:line="360" w:lineRule="auto"/>
        <w:ind w:left="0" w:firstLine="0"/>
        <w:jc w:val="left"/>
        <w:rPr>
          <w:rFonts w:eastAsia="仿宋"/>
          <w:sz w:val="24"/>
        </w:rPr>
      </w:pPr>
      <w:r>
        <w:rPr>
          <w:rFonts w:hint="eastAsia" w:eastAsia="仿宋"/>
          <w:sz w:val="24"/>
        </w:rPr>
        <w:t>评审办法</w:t>
      </w:r>
    </w:p>
    <w:p w14:paraId="40FFE9B8">
      <w:pPr>
        <w:pStyle w:val="15"/>
        <w:numPr>
          <w:ilvl w:val="0"/>
          <w:numId w:val="3"/>
        </w:numPr>
        <w:adjustRightInd w:val="0"/>
        <w:snapToGrid w:val="0"/>
        <w:spacing w:line="360" w:lineRule="auto"/>
        <w:ind w:left="0" w:firstLine="480"/>
        <w:rPr>
          <w:rFonts w:ascii="仿宋" w:hAnsi="仿宋" w:eastAsia="仿宋"/>
          <w:sz w:val="24"/>
        </w:rPr>
      </w:pPr>
      <w:r>
        <w:rPr>
          <w:rFonts w:hint="eastAsia" w:ascii="仿宋" w:hAnsi="仿宋" w:eastAsia="仿宋"/>
          <w:sz w:val="24"/>
        </w:rPr>
        <w:t>评审方法：最低价评审法。</w:t>
      </w:r>
    </w:p>
    <w:p w14:paraId="5B7C6D34">
      <w:pPr>
        <w:pStyle w:val="15"/>
        <w:numPr>
          <w:ilvl w:val="0"/>
          <w:numId w:val="3"/>
        </w:numPr>
        <w:adjustRightInd w:val="0"/>
        <w:snapToGrid w:val="0"/>
        <w:spacing w:line="360" w:lineRule="auto"/>
        <w:ind w:left="0" w:firstLine="480"/>
        <w:rPr>
          <w:rFonts w:ascii="仿宋" w:hAnsi="仿宋" w:eastAsia="仿宋"/>
          <w:sz w:val="24"/>
        </w:rPr>
      </w:pPr>
      <w:r>
        <w:rPr>
          <w:rFonts w:hint="eastAsia" w:ascii="仿宋" w:hAnsi="仿宋" w:eastAsia="仿宋"/>
          <w:sz w:val="24"/>
        </w:rPr>
        <w:t>推荐成交候选人</w:t>
      </w:r>
    </w:p>
    <w:p w14:paraId="1B2907CF">
      <w:pPr>
        <w:pStyle w:val="15"/>
        <w:adjustRightInd w:val="0"/>
        <w:snapToGrid w:val="0"/>
        <w:spacing w:line="360" w:lineRule="auto"/>
        <w:ind w:firstLine="480"/>
        <w:rPr>
          <w:rFonts w:ascii="仿宋" w:hAnsi="仿宋" w:eastAsia="仿宋"/>
          <w:b/>
          <w:sz w:val="36"/>
          <w:szCs w:val="36"/>
        </w:rPr>
      </w:pPr>
      <w:bookmarkStart w:id="5" w:name="_Hlk137592000"/>
      <w:r>
        <w:rPr>
          <w:rFonts w:hint="eastAsia" w:ascii="仿宋" w:hAnsi="仿宋" w:eastAsia="仿宋"/>
          <w:sz w:val="24"/>
        </w:rPr>
        <w:t>评审小组按评审价格由低到高的顺序推荐成交候选人，</w:t>
      </w:r>
      <w:bookmarkEnd w:id="5"/>
      <w:r>
        <w:rPr>
          <w:rFonts w:hint="eastAsia" w:ascii="仿宋" w:hAnsi="仿宋" w:eastAsia="仿宋"/>
          <w:sz w:val="24"/>
        </w:rPr>
        <w:t>评审价格相等的，评审小组应对工期</w:t>
      </w:r>
      <w:r>
        <w:rPr>
          <w:rFonts w:ascii="仿宋" w:hAnsi="仿宋" w:eastAsia="仿宋"/>
          <w:sz w:val="24"/>
        </w:rPr>
        <w:t>/交货期/服务期</w:t>
      </w:r>
      <w:r>
        <w:rPr>
          <w:rFonts w:hint="eastAsia" w:ascii="仿宋" w:hAnsi="仿宋" w:eastAsia="仿宋"/>
          <w:sz w:val="24"/>
        </w:rPr>
        <w:t>的优劣进行排序并推荐成交人，评审价格相等且工期</w:t>
      </w:r>
      <w:r>
        <w:rPr>
          <w:rFonts w:ascii="仿宋" w:hAnsi="仿宋" w:eastAsia="仿宋"/>
          <w:sz w:val="24"/>
        </w:rPr>
        <w:t>/交货期/服务期</w:t>
      </w:r>
      <w:r>
        <w:rPr>
          <w:rFonts w:hint="eastAsia" w:ascii="仿宋" w:hAnsi="仿宋" w:eastAsia="仿宋"/>
          <w:sz w:val="24"/>
        </w:rPr>
        <w:t>也相等或无法判断的，评审小组应对质保期的优劣进行排序并推荐成交人，以上均相同或无法判断的，由评审小组根据采购项目情况综合评议确定顺序。</w:t>
      </w:r>
      <w:r>
        <w:rPr>
          <w:rFonts w:ascii="仿宋" w:hAnsi="仿宋" w:eastAsia="仿宋"/>
          <w:sz w:val="24"/>
        </w:rPr>
        <w:br w:type="page"/>
      </w:r>
    </w:p>
    <w:p w14:paraId="485233EB">
      <w:pPr>
        <w:pStyle w:val="2"/>
        <w:tabs>
          <w:tab w:val="left" w:pos="3686"/>
        </w:tabs>
        <w:adjustRightInd w:val="0"/>
        <w:snapToGrid w:val="0"/>
        <w:spacing w:before="0" w:after="0" w:line="360" w:lineRule="auto"/>
        <w:jc w:val="center"/>
        <w:rPr>
          <w:rFonts w:eastAsia="仿宋"/>
          <w:sz w:val="28"/>
        </w:rPr>
      </w:pPr>
      <w:r>
        <w:rPr>
          <w:rFonts w:hint="eastAsia" w:eastAsia="仿宋"/>
          <w:sz w:val="28"/>
        </w:rPr>
        <w:t>第二卷 响应供应商要求</w:t>
      </w:r>
    </w:p>
    <w:p w14:paraId="0C225804">
      <w:pPr>
        <w:jc w:val="center"/>
        <w:rPr>
          <w:rFonts w:eastAsia="仿宋"/>
        </w:rPr>
      </w:pPr>
    </w:p>
    <w:p w14:paraId="4B2CECF2">
      <w:pPr>
        <w:spacing w:line="360" w:lineRule="auto"/>
        <w:ind w:firstLine="480" w:firstLineChars="200"/>
        <w:rPr>
          <w:rFonts w:ascii="仿宋" w:hAnsi="仿宋" w:eastAsia="仿宋"/>
          <w:kern w:val="0"/>
          <w:sz w:val="24"/>
        </w:rPr>
      </w:pPr>
      <w:r>
        <w:rPr>
          <w:rFonts w:hint="eastAsia" w:ascii="仿宋" w:hAnsi="仿宋" w:eastAsia="仿宋"/>
          <w:kern w:val="0"/>
          <w:sz w:val="24"/>
        </w:rPr>
        <w:t>响应供应商须符合下列要求</w:t>
      </w:r>
      <w:r>
        <w:rPr>
          <w:rFonts w:hint="eastAsia" w:ascii="仿宋" w:hAnsi="仿宋" w:eastAsia="仿宋"/>
          <w:sz w:val="24"/>
        </w:rPr>
        <w:t>，</w:t>
      </w:r>
      <w:r>
        <w:rPr>
          <w:rFonts w:hint="eastAsia" w:ascii="仿宋" w:hAnsi="仿宋" w:eastAsia="仿宋"/>
          <w:kern w:val="0"/>
          <w:sz w:val="24"/>
        </w:rPr>
        <w:t>否则我司有权否决其响应。</w:t>
      </w:r>
    </w:p>
    <w:p w14:paraId="25FEC80C">
      <w:pPr>
        <w:pStyle w:val="3"/>
        <w:numPr>
          <w:ilvl w:val="0"/>
          <w:numId w:val="4"/>
        </w:numPr>
        <w:adjustRightInd w:val="0"/>
        <w:snapToGrid w:val="0"/>
        <w:spacing w:before="120" w:after="120" w:line="360" w:lineRule="auto"/>
        <w:ind w:left="0" w:firstLine="0"/>
        <w:jc w:val="left"/>
        <w:rPr>
          <w:rFonts w:eastAsia="仿宋"/>
          <w:sz w:val="24"/>
        </w:rPr>
      </w:pPr>
      <w:r>
        <w:rPr>
          <w:rFonts w:hint="eastAsia" w:eastAsia="仿宋"/>
          <w:sz w:val="24"/>
        </w:rPr>
        <w:t>资格要求</w:t>
      </w:r>
    </w:p>
    <w:p w14:paraId="64227C3A">
      <w:pPr>
        <w:pStyle w:val="15"/>
        <w:numPr>
          <w:ilvl w:val="3"/>
          <w:numId w:val="5"/>
        </w:numPr>
        <w:spacing w:line="360" w:lineRule="auto"/>
        <w:ind w:left="0" w:firstLine="480"/>
        <w:rPr>
          <w:rFonts w:ascii="仿宋" w:hAnsi="仿宋" w:eastAsia="仿宋"/>
          <w:sz w:val="24"/>
        </w:rPr>
      </w:pPr>
      <w:r>
        <w:rPr>
          <w:rFonts w:hint="eastAsia" w:ascii="仿宋" w:hAnsi="仿宋" w:eastAsia="仿宋"/>
          <w:sz w:val="24"/>
        </w:rPr>
        <w:t>响应供应商为中华人民共和国境内合法注册的独立法人或其他组织，</w:t>
      </w:r>
      <w:r>
        <w:rPr>
          <w:rFonts w:hint="eastAsia" w:ascii="仿宋" w:hAnsi="仿宋" w:eastAsia="仿宋"/>
          <w:sz w:val="24"/>
          <w:highlight w:val="none"/>
        </w:rPr>
        <w:t>具有独立承担民事责任能力</w:t>
      </w:r>
      <w:r>
        <w:rPr>
          <w:rFonts w:hint="eastAsia" w:ascii="仿宋" w:hAnsi="仿宋" w:eastAsia="仿宋"/>
          <w:sz w:val="24"/>
        </w:rPr>
        <w:t>，具有独立订立合同的权利。</w:t>
      </w:r>
    </w:p>
    <w:p w14:paraId="499CD897">
      <w:pPr>
        <w:pStyle w:val="15"/>
        <w:numPr>
          <w:ilvl w:val="3"/>
          <w:numId w:val="5"/>
        </w:numPr>
        <w:spacing w:line="360" w:lineRule="auto"/>
        <w:ind w:left="0" w:firstLine="480"/>
        <w:rPr>
          <w:rFonts w:ascii="仿宋" w:hAnsi="仿宋" w:eastAsia="仿宋"/>
          <w:sz w:val="24"/>
        </w:rPr>
      </w:pPr>
      <w:r>
        <w:rPr>
          <w:rFonts w:hint="eastAsia" w:ascii="仿宋" w:hAnsi="仿宋" w:eastAsia="仿宋"/>
          <w:kern w:val="0"/>
          <w:sz w:val="24"/>
        </w:rPr>
        <w:t>信用要求：</w:t>
      </w:r>
    </w:p>
    <w:p w14:paraId="140CCA2D">
      <w:pPr>
        <w:spacing w:line="360" w:lineRule="auto"/>
        <w:ind w:firstLine="480" w:firstLineChars="200"/>
        <w:rPr>
          <w:rFonts w:ascii="仿宋" w:hAnsi="仿宋" w:eastAsia="仿宋"/>
          <w:kern w:val="0"/>
          <w:sz w:val="24"/>
        </w:rPr>
      </w:pPr>
      <w:r>
        <w:rPr>
          <w:rFonts w:hint="eastAsia" w:ascii="仿宋" w:hAnsi="仿宋" w:eastAsia="仿宋"/>
          <w:kern w:val="0"/>
          <w:sz w:val="24"/>
        </w:rPr>
        <w:t>（1）响应供应商（含联合体响应的成员单位）未被“国家企业信用信息公示系统” 网站（www.gsxt.gov.cn）列入严重违法失信企业名单（如：提供网站查询界面截图）；</w:t>
      </w:r>
    </w:p>
    <w:p w14:paraId="2662CCFF">
      <w:pPr>
        <w:spacing w:line="360" w:lineRule="auto"/>
        <w:ind w:firstLine="480" w:firstLineChars="200"/>
        <w:rPr>
          <w:rFonts w:ascii="仿宋" w:hAnsi="仿宋" w:eastAsia="仿宋"/>
          <w:i/>
          <w:color w:val="FF0000"/>
          <w:kern w:val="0"/>
          <w:sz w:val="24"/>
        </w:rPr>
      </w:pPr>
      <w:r>
        <w:rPr>
          <w:rFonts w:hint="eastAsia" w:ascii="仿宋" w:hAnsi="仿宋" w:eastAsia="仿宋"/>
          <w:kern w:val="0"/>
          <w:sz w:val="24"/>
        </w:rPr>
        <w:t>（2）响应供应商（含联合体响应的成员单位）未被 “信用中国”网站（www.creditchina.gov.cn）列入严重失信主体名单（如：提供网站查询界面截图）。</w:t>
      </w:r>
    </w:p>
    <w:p w14:paraId="1D7AC507">
      <w:pPr>
        <w:pStyle w:val="3"/>
        <w:numPr>
          <w:ilvl w:val="0"/>
          <w:numId w:val="4"/>
        </w:numPr>
        <w:adjustRightInd w:val="0"/>
        <w:snapToGrid w:val="0"/>
        <w:spacing w:before="120" w:after="120" w:line="360" w:lineRule="auto"/>
        <w:ind w:left="0" w:firstLine="0"/>
        <w:jc w:val="left"/>
        <w:rPr>
          <w:rFonts w:eastAsia="仿宋"/>
          <w:sz w:val="24"/>
        </w:rPr>
      </w:pPr>
      <w:bookmarkStart w:id="6" w:name="OLE_LINK22"/>
      <w:bookmarkStart w:id="7" w:name="OLE_LINK21"/>
      <w:r>
        <w:rPr>
          <w:rFonts w:hint="eastAsia" w:eastAsia="仿宋"/>
          <w:sz w:val="24"/>
        </w:rPr>
        <w:t>其他要求</w:t>
      </w:r>
    </w:p>
    <w:p w14:paraId="4AC5CC8F">
      <w:pPr>
        <w:pStyle w:val="15"/>
        <w:numPr>
          <w:ilvl w:val="3"/>
          <w:numId w:val="6"/>
        </w:numPr>
        <w:overflowPunct w:val="0"/>
        <w:spacing w:line="360" w:lineRule="auto"/>
        <w:ind w:left="0" w:firstLine="480"/>
        <w:rPr>
          <w:rFonts w:ascii="仿宋" w:hAnsi="仿宋" w:eastAsia="仿宋"/>
          <w:sz w:val="24"/>
        </w:rPr>
      </w:pPr>
      <w:r>
        <w:rPr>
          <w:rFonts w:hint="eastAsia" w:ascii="仿宋" w:hAnsi="仿宋" w:eastAsia="仿宋"/>
          <w:sz w:val="24"/>
        </w:rPr>
        <w:t>成交单位应在成交通知书发出之日起30日内与我司签订合同，否则应依法承担相应的责任</w:t>
      </w:r>
      <w:r>
        <w:rPr>
          <w:rFonts w:hint="eastAsia" w:ascii="仿宋" w:hAnsi="仿宋" w:eastAsia="仿宋"/>
          <w:kern w:val="0"/>
          <w:sz w:val="24"/>
        </w:rPr>
        <w:t>。</w:t>
      </w:r>
    </w:p>
    <w:p w14:paraId="65AF25BD">
      <w:pPr>
        <w:pStyle w:val="15"/>
        <w:numPr>
          <w:ilvl w:val="3"/>
          <w:numId w:val="6"/>
        </w:numPr>
        <w:overflowPunct w:val="0"/>
        <w:spacing w:line="360" w:lineRule="auto"/>
        <w:ind w:left="0" w:firstLine="480"/>
        <w:rPr>
          <w:rFonts w:ascii="仿宋" w:hAnsi="仿宋" w:eastAsia="仿宋"/>
          <w:sz w:val="24"/>
        </w:rPr>
      </w:pPr>
      <w:r>
        <w:rPr>
          <w:rFonts w:hint="eastAsia" w:ascii="仿宋" w:hAnsi="仿宋" w:eastAsia="仿宋"/>
          <w:sz w:val="24"/>
        </w:rPr>
        <w:t>若成交候选人无正当理由不与采购人订立合同，在签订合同时向采购人提出附加条件，或者不按照采购文件要求提交履约保证金，有多个成交候选人的，可顺位选择后续成交候选人签订合同，或重新组织采购活动。</w:t>
      </w:r>
    </w:p>
    <w:p w14:paraId="57AA35FF">
      <w:pPr>
        <w:pStyle w:val="15"/>
        <w:numPr>
          <w:ilvl w:val="3"/>
          <w:numId w:val="6"/>
        </w:numPr>
        <w:overflowPunct w:val="0"/>
        <w:spacing w:line="360" w:lineRule="auto"/>
        <w:ind w:left="0" w:firstLine="480"/>
        <w:rPr>
          <w:rFonts w:ascii="仿宋" w:hAnsi="仿宋" w:eastAsia="仿宋"/>
          <w:sz w:val="24"/>
        </w:rPr>
      </w:pPr>
      <w:r>
        <w:rPr>
          <w:rFonts w:hint="eastAsia" w:ascii="仿宋" w:hAnsi="仿宋" w:eastAsia="仿宋"/>
          <w:sz w:val="24"/>
        </w:rPr>
        <w:t>供应商在采购活动中出现失信行为的，将按照华润燃气相关管理办法执行</w:t>
      </w:r>
      <w:r>
        <w:rPr>
          <w:rFonts w:ascii="仿宋" w:hAnsi="仿宋" w:eastAsia="仿宋"/>
          <w:sz w:val="24"/>
        </w:rPr>
        <w:t>。</w:t>
      </w:r>
      <w:r>
        <w:rPr>
          <w:rFonts w:hint="eastAsia" w:ascii="仿宋" w:hAnsi="仿宋" w:eastAsia="仿宋"/>
          <w:sz w:val="24"/>
        </w:rPr>
        <w:t>详见合同附件《附件2：供应商失信行为处置标准》。</w:t>
      </w:r>
    </w:p>
    <w:p w14:paraId="298533AC">
      <w:pPr>
        <w:pStyle w:val="15"/>
        <w:numPr>
          <w:ilvl w:val="3"/>
          <w:numId w:val="6"/>
        </w:numPr>
        <w:overflowPunct w:val="0"/>
        <w:spacing w:line="360" w:lineRule="auto"/>
        <w:ind w:left="0" w:firstLine="480"/>
        <w:rPr>
          <w:rFonts w:ascii="仿宋" w:hAnsi="仿宋" w:eastAsia="仿宋"/>
          <w:sz w:val="24"/>
        </w:rPr>
      </w:pPr>
      <w:r>
        <w:rPr>
          <w:rFonts w:hint="eastAsia" w:ascii="仿宋" w:hAnsi="仿宋" w:eastAsia="仿宋"/>
          <w:sz w:val="24"/>
        </w:rPr>
        <w:t>在合同期内，投标单位一旦被全国企业信用信息公示系统列入严重违法失信企业名单；或被“信用中国”网站列入严重失信主体名单；或被华润燃气集团列入黑名单的，招标人有权终止合同。</w:t>
      </w:r>
    </w:p>
    <w:bookmarkEnd w:id="6"/>
    <w:bookmarkEnd w:id="7"/>
    <w:p w14:paraId="2BC87340">
      <w:pPr>
        <w:pStyle w:val="15"/>
        <w:numPr>
          <w:ilvl w:val="3"/>
          <w:numId w:val="6"/>
        </w:numPr>
        <w:overflowPunct w:val="0"/>
        <w:spacing w:line="360" w:lineRule="auto"/>
        <w:ind w:left="0" w:firstLine="480"/>
        <w:rPr>
          <w:rFonts w:ascii="仿宋" w:hAnsi="仿宋" w:eastAsia="仿宋"/>
          <w:sz w:val="24"/>
        </w:rPr>
      </w:pPr>
      <w:bookmarkStart w:id="8" w:name="OLE_LINK42"/>
      <w:bookmarkStart w:id="9" w:name="OLE_LINK46"/>
      <w:bookmarkStart w:id="10" w:name="OLE_LINK43"/>
      <w:r>
        <w:rPr>
          <w:rFonts w:hint="eastAsia" w:ascii="仿宋" w:hAnsi="仿宋" w:eastAsia="仿宋"/>
          <w:kern w:val="0"/>
          <w:sz w:val="24"/>
        </w:rPr>
        <w:t>否决响应文件情形</w:t>
      </w:r>
      <w:bookmarkEnd w:id="8"/>
      <w:bookmarkEnd w:id="9"/>
      <w:bookmarkEnd w:id="10"/>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591"/>
      </w:tblGrid>
      <w:tr w14:paraId="12E2D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tcPr>
          <w:p w14:paraId="02772F8B">
            <w:pPr>
              <w:widowControl/>
              <w:spacing w:line="360" w:lineRule="exact"/>
              <w:jc w:val="center"/>
              <w:rPr>
                <w:rFonts w:ascii="仿宋" w:hAnsi="仿宋" w:eastAsia="仿宋"/>
                <w:b/>
                <w:bCs/>
                <w:sz w:val="24"/>
              </w:rPr>
            </w:pPr>
            <w:r>
              <w:rPr>
                <w:rFonts w:hint="eastAsia" w:ascii="仿宋" w:hAnsi="仿宋" w:eastAsia="仿宋"/>
                <w:b/>
                <w:bCs/>
                <w:sz w:val="24"/>
              </w:rPr>
              <w:t>序号</w:t>
            </w:r>
          </w:p>
        </w:tc>
        <w:tc>
          <w:tcPr>
            <w:tcW w:w="7591" w:type="dxa"/>
          </w:tcPr>
          <w:p w14:paraId="21941499">
            <w:pPr>
              <w:widowControl/>
              <w:spacing w:line="360" w:lineRule="exact"/>
              <w:jc w:val="center"/>
              <w:rPr>
                <w:rFonts w:ascii="仿宋" w:hAnsi="仿宋" w:eastAsia="仿宋"/>
                <w:b/>
                <w:bCs/>
                <w:sz w:val="24"/>
              </w:rPr>
            </w:pPr>
            <w:r>
              <w:rPr>
                <w:rFonts w:hint="eastAsia" w:ascii="仿宋" w:hAnsi="仿宋" w:eastAsia="仿宋"/>
                <w:b/>
                <w:bCs/>
                <w:sz w:val="24"/>
              </w:rPr>
              <w:t>否决响应文件情形</w:t>
            </w:r>
          </w:p>
        </w:tc>
      </w:tr>
      <w:tr w14:paraId="73D57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noWrap/>
          </w:tcPr>
          <w:p w14:paraId="4DD926E2">
            <w:pPr>
              <w:pStyle w:val="15"/>
              <w:widowControl/>
              <w:numPr>
                <w:ilvl w:val="0"/>
                <w:numId w:val="7"/>
              </w:numPr>
              <w:spacing w:line="360" w:lineRule="exact"/>
              <w:ind w:firstLineChars="0"/>
              <w:jc w:val="center"/>
              <w:rPr>
                <w:rFonts w:ascii="仿宋" w:hAnsi="仿宋" w:eastAsia="仿宋"/>
                <w:sz w:val="24"/>
              </w:rPr>
            </w:pPr>
          </w:p>
        </w:tc>
        <w:tc>
          <w:tcPr>
            <w:tcW w:w="7591" w:type="dxa"/>
            <w:noWrap/>
          </w:tcPr>
          <w:p w14:paraId="44EE6416">
            <w:pPr>
              <w:widowControl/>
              <w:spacing w:line="360" w:lineRule="exact"/>
              <w:rPr>
                <w:rFonts w:ascii="仿宋" w:hAnsi="仿宋" w:eastAsia="仿宋"/>
                <w:sz w:val="24"/>
              </w:rPr>
            </w:pPr>
            <w:r>
              <w:rPr>
                <w:rFonts w:hint="eastAsia" w:ascii="仿宋" w:hAnsi="仿宋" w:eastAsia="仿宋"/>
                <w:sz w:val="24"/>
              </w:rPr>
              <w:t>响应文件没有按供应商须知前附表中要求签字或盖章</w:t>
            </w:r>
          </w:p>
        </w:tc>
      </w:tr>
      <w:tr w14:paraId="7C2B5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noWrap/>
          </w:tcPr>
          <w:p w14:paraId="25115D62">
            <w:pPr>
              <w:pStyle w:val="15"/>
              <w:widowControl/>
              <w:numPr>
                <w:ilvl w:val="0"/>
                <w:numId w:val="7"/>
              </w:numPr>
              <w:spacing w:line="360" w:lineRule="exact"/>
              <w:ind w:firstLineChars="0"/>
              <w:jc w:val="center"/>
              <w:rPr>
                <w:rFonts w:ascii="仿宋" w:hAnsi="仿宋" w:eastAsia="仿宋"/>
                <w:sz w:val="24"/>
              </w:rPr>
            </w:pPr>
          </w:p>
        </w:tc>
        <w:tc>
          <w:tcPr>
            <w:tcW w:w="7591" w:type="dxa"/>
          </w:tcPr>
          <w:p w14:paraId="3225C1A6">
            <w:pPr>
              <w:widowControl/>
              <w:spacing w:line="360" w:lineRule="exact"/>
              <w:rPr>
                <w:rFonts w:ascii="仿宋" w:hAnsi="仿宋" w:eastAsia="仿宋"/>
                <w:sz w:val="24"/>
              </w:rPr>
            </w:pPr>
            <w:r>
              <w:rPr>
                <w:rFonts w:hint="eastAsia" w:ascii="仿宋" w:hAnsi="仿宋" w:eastAsia="仿宋"/>
                <w:sz w:val="24"/>
              </w:rPr>
              <w:t>响应文件未经响应供应商盖章和单位负责人签字</w:t>
            </w:r>
          </w:p>
        </w:tc>
      </w:tr>
      <w:tr w14:paraId="3484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noWrap/>
          </w:tcPr>
          <w:p w14:paraId="1F69FF5E">
            <w:pPr>
              <w:pStyle w:val="15"/>
              <w:widowControl/>
              <w:numPr>
                <w:ilvl w:val="0"/>
                <w:numId w:val="7"/>
              </w:numPr>
              <w:spacing w:line="360" w:lineRule="exact"/>
              <w:ind w:firstLineChars="0"/>
              <w:jc w:val="center"/>
              <w:rPr>
                <w:rFonts w:ascii="仿宋" w:hAnsi="仿宋" w:eastAsia="仿宋"/>
                <w:sz w:val="24"/>
              </w:rPr>
            </w:pPr>
          </w:p>
        </w:tc>
        <w:tc>
          <w:tcPr>
            <w:tcW w:w="7591" w:type="dxa"/>
          </w:tcPr>
          <w:p w14:paraId="5A745D4C">
            <w:pPr>
              <w:widowControl/>
              <w:spacing w:line="360" w:lineRule="exact"/>
              <w:rPr>
                <w:rFonts w:ascii="仿宋" w:hAnsi="仿宋" w:eastAsia="仿宋"/>
                <w:sz w:val="24"/>
              </w:rPr>
            </w:pPr>
            <w:r>
              <w:rPr>
                <w:rFonts w:hint="eastAsia" w:ascii="仿宋" w:hAnsi="仿宋" w:eastAsia="仿宋"/>
                <w:sz w:val="24"/>
              </w:rPr>
              <w:t>允许联合体响应的，联合体未提交联合投标协议或者联合体各方以自己名义或加入其他联合体响应的，其响应文件将被否决</w:t>
            </w:r>
          </w:p>
        </w:tc>
      </w:tr>
      <w:tr w14:paraId="785DA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noWrap/>
          </w:tcPr>
          <w:p w14:paraId="2BF328E3">
            <w:pPr>
              <w:pStyle w:val="15"/>
              <w:widowControl/>
              <w:numPr>
                <w:ilvl w:val="0"/>
                <w:numId w:val="7"/>
              </w:numPr>
              <w:spacing w:line="360" w:lineRule="exact"/>
              <w:ind w:firstLineChars="0"/>
              <w:jc w:val="center"/>
              <w:rPr>
                <w:rFonts w:ascii="仿宋" w:hAnsi="仿宋" w:eastAsia="仿宋"/>
                <w:sz w:val="24"/>
              </w:rPr>
            </w:pPr>
          </w:p>
        </w:tc>
        <w:tc>
          <w:tcPr>
            <w:tcW w:w="7591" w:type="dxa"/>
          </w:tcPr>
          <w:p w14:paraId="7E1F057E">
            <w:pPr>
              <w:widowControl/>
              <w:spacing w:line="360" w:lineRule="exact"/>
              <w:rPr>
                <w:rFonts w:ascii="仿宋" w:hAnsi="仿宋" w:eastAsia="仿宋"/>
                <w:sz w:val="24"/>
              </w:rPr>
            </w:pPr>
            <w:r>
              <w:rPr>
                <w:rFonts w:hint="eastAsia" w:ascii="仿宋" w:hAnsi="仿宋" w:eastAsia="仿宋"/>
                <w:sz w:val="24"/>
              </w:rPr>
              <w:t>响应供应商不符合国家或者采购文件规定的资格条件。</w:t>
            </w:r>
          </w:p>
        </w:tc>
      </w:tr>
      <w:tr w14:paraId="18500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noWrap/>
          </w:tcPr>
          <w:p w14:paraId="07ACF040">
            <w:pPr>
              <w:pStyle w:val="15"/>
              <w:widowControl/>
              <w:numPr>
                <w:ilvl w:val="0"/>
                <w:numId w:val="7"/>
              </w:numPr>
              <w:spacing w:line="360" w:lineRule="exact"/>
              <w:ind w:firstLineChars="0"/>
              <w:jc w:val="center"/>
              <w:rPr>
                <w:rFonts w:ascii="仿宋" w:hAnsi="仿宋" w:eastAsia="仿宋"/>
                <w:sz w:val="24"/>
              </w:rPr>
            </w:pPr>
          </w:p>
        </w:tc>
        <w:tc>
          <w:tcPr>
            <w:tcW w:w="7591" w:type="dxa"/>
          </w:tcPr>
          <w:p w14:paraId="50F9D34F">
            <w:pPr>
              <w:widowControl/>
              <w:spacing w:line="360" w:lineRule="exact"/>
              <w:rPr>
                <w:rFonts w:ascii="仿宋" w:hAnsi="仿宋" w:eastAsia="仿宋"/>
                <w:sz w:val="24"/>
              </w:rPr>
            </w:pPr>
            <w:r>
              <w:rPr>
                <w:rFonts w:hint="eastAsia" w:ascii="仿宋" w:hAnsi="仿宋" w:eastAsia="仿宋"/>
                <w:sz w:val="24"/>
              </w:rPr>
              <w:t>同一响应提交两个以上不同的响应文件，但采购文件要求提交备选响应文件的除外。</w:t>
            </w:r>
          </w:p>
        </w:tc>
      </w:tr>
      <w:tr w14:paraId="66B1A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noWrap/>
          </w:tcPr>
          <w:p w14:paraId="7DC89509">
            <w:pPr>
              <w:pStyle w:val="15"/>
              <w:widowControl/>
              <w:numPr>
                <w:ilvl w:val="0"/>
                <w:numId w:val="7"/>
              </w:numPr>
              <w:spacing w:line="360" w:lineRule="exact"/>
              <w:ind w:firstLineChars="0"/>
              <w:jc w:val="center"/>
              <w:rPr>
                <w:rFonts w:ascii="仿宋" w:hAnsi="仿宋" w:eastAsia="仿宋"/>
                <w:sz w:val="24"/>
              </w:rPr>
            </w:pPr>
          </w:p>
        </w:tc>
        <w:tc>
          <w:tcPr>
            <w:tcW w:w="7591" w:type="dxa"/>
          </w:tcPr>
          <w:p w14:paraId="69E01FD5">
            <w:pPr>
              <w:widowControl/>
              <w:spacing w:line="360" w:lineRule="exact"/>
              <w:rPr>
                <w:rFonts w:ascii="仿宋" w:hAnsi="仿宋" w:eastAsia="仿宋"/>
                <w:sz w:val="24"/>
              </w:rPr>
            </w:pPr>
            <w:r>
              <w:rPr>
                <w:rFonts w:hint="eastAsia" w:ascii="仿宋" w:hAnsi="仿宋" w:eastAsia="仿宋"/>
                <w:sz w:val="24"/>
              </w:rPr>
              <w:t>响应文件格式、内容与采购文件要求不符，有较大偏差。</w:t>
            </w:r>
          </w:p>
        </w:tc>
      </w:tr>
      <w:tr w14:paraId="6318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noWrap/>
          </w:tcPr>
          <w:p w14:paraId="0C16BAC8">
            <w:pPr>
              <w:pStyle w:val="15"/>
              <w:widowControl/>
              <w:numPr>
                <w:ilvl w:val="0"/>
                <w:numId w:val="7"/>
              </w:numPr>
              <w:spacing w:line="360" w:lineRule="exact"/>
              <w:ind w:firstLineChars="0"/>
              <w:jc w:val="center"/>
              <w:rPr>
                <w:rFonts w:ascii="仿宋" w:hAnsi="仿宋" w:eastAsia="仿宋"/>
                <w:sz w:val="24"/>
              </w:rPr>
            </w:pPr>
          </w:p>
        </w:tc>
        <w:tc>
          <w:tcPr>
            <w:tcW w:w="7591" w:type="dxa"/>
          </w:tcPr>
          <w:p w14:paraId="1E0564F7">
            <w:pPr>
              <w:widowControl/>
              <w:spacing w:line="360" w:lineRule="exact"/>
              <w:rPr>
                <w:rFonts w:ascii="仿宋" w:hAnsi="仿宋" w:eastAsia="仿宋"/>
                <w:sz w:val="24"/>
              </w:rPr>
            </w:pPr>
            <w:r>
              <w:rPr>
                <w:rFonts w:hint="eastAsia" w:ascii="仿宋" w:hAnsi="仿宋" w:eastAsia="仿宋"/>
                <w:sz w:val="24"/>
              </w:rPr>
              <w:t>报价低于成本或者高于采购文件设定的最高报价限价。</w:t>
            </w:r>
          </w:p>
        </w:tc>
      </w:tr>
      <w:tr w14:paraId="3FF90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noWrap/>
          </w:tcPr>
          <w:p w14:paraId="0C736AC7">
            <w:pPr>
              <w:pStyle w:val="15"/>
              <w:widowControl/>
              <w:numPr>
                <w:ilvl w:val="0"/>
                <w:numId w:val="7"/>
              </w:numPr>
              <w:spacing w:line="360" w:lineRule="exact"/>
              <w:ind w:firstLineChars="0"/>
              <w:jc w:val="center"/>
              <w:rPr>
                <w:rFonts w:ascii="仿宋" w:hAnsi="仿宋" w:eastAsia="仿宋"/>
                <w:sz w:val="24"/>
              </w:rPr>
            </w:pPr>
          </w:p>
        </w:tc>
        <w:tc>
          <w:tcPr>
            <w:tcW w:w="7591" w:type="dxa"/>
          </w:tcPr>
          <w:p w14:paraId="70BCE149">
            <w:pPr>
              <w:widowControl/>
              <w:spacing w:line="360" w:lineRule="exact"/>
              <w:rPr>
                <w:rFonts w:ascii="仿宋" w:hAnsi="仿宋" w:eastAsia="仿宋"/>
                <w:sz w:val="24"/>
              </w:rPr>
            </w:pPr>
            <w:r>
              <w:rPr>
                <w:rFonts w:hint="eastAsia" w:ascii="仿宋" w:hAnsi="仿宋" w:eastAsia="仿宋"/>
                <w:sz w:val="24"/>
              </w:rPr>
              <w:t>响应文件没有对采购文件的实质性要求和条件作出响应。</w:t>
            </w:r>
          </w:p>
        </w:tc>
      </w:tr>
      <w:tr w14:paraId="0DE2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noWrap/>
          </w:tcPr>
          <w:p w14:paraId="7EA36B31">
            <w:pPr>
              <w:pStyle w:val="15"/>
              <w:widowControl/>
              <w:numPr>
                <w:ilvl w:val="0"/>
                <w:numId w:val="7"/>
              </w:numPr>
              <w:spacing w:line="360" w:lineRule="exact"/>
              <w:ind w:firstLineChars="0"/>
              <w:jc w:val="center"/>
              <w:rPr>
                <w:rFonts w:ascii="仿宋" w:hAnsi="仿宋" w:eastAsia="仿宋"/>
                <w:sz w:val="24"/>
              </w:rPr>
            </w:pPr>
          </w:p>
        </w:tc>
        <w:tc>
          <w:tcPr>
            <w:tcW w:w="7591" w:type="dxa"/>
          </w:tcPr>
          <w:p w14:paraId="5135F509">
            <w:pPr>
              <w:widowControl/>
              <w:spacing w:line="360" w:lineRule="exact"/>
              <w:rPr>
                <w:rFonts w:ascii="仿宋" w:hAnsi="仿宋" w:eastAsia="仿宋"/>
                <w:sz w:val="24"/>
              </w:rPr>
            </w:pPr>
            <w:r>
              <w:rPr>
                <w:rFonts w:hint="eastAsia" w:ascii="仿宋" w:hAnsi="仿宋" w:eastAsia="仿宋"/>
                <w:sz w:val="24"/>
              </w:rPr>
              <w:t>响应供应商有串通投标、弄虚作假、行贿等违法行为。</w:t>
            </w:r>
          </w:p>
        </w:tc>
      </w:tr>
      <w:tr w14:paraId="5C5F0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noWrap/>
          </w:tcPr>
          <w:p w14:paraId="38C8A8F6">
            <w:pPr>
              <w:pStyle w:val="15"/>
              <w:widowControl/>
              <w:numPr>
                <w:ilvl w:val="0"/>
                <w:numId w:val="7"/>
              </w:numPr>
              <w:spacing w:line="360" w:lineRule="exact"/>
              <w:ind w:firstLineChars="0"/>
              <w:jc w:val="center"/>
              <w:rPr>
                <w:rFonts w:ascii="仿宋" w:hAnsi="仿宋" w:eastAsia="仿宋"/>
                <w:sz w:val="24"/>
              </w:rPr>
            </w:pPr>
          </w:p>
        </w:tc>
        <w:tc>
          <w:tcPr>
            <w:tcW w:w="7591" w:type="dxa"/>
          </w:tcPr>
          <w:p w14:paraId="62B1116D">
            <w:pPr>
              <w:widowControl/>
              <w:spacing w:line="360" w:lineRule="exact"/>
              <w:rPr>
                <w:rFonts w:ascii="仿宋" w:hAnsi="仿宋" w:eastAsia="仿宋"/>
                <w:sz w:val="24"/>
              </w:rPr>
            </w:pPr>
            <w:r>
              <w:rPr>
                <w:rFonts w:hint="eastAsia" w:ascii="仿宋" w:hAnsi="仿宋" w:eastAsia="仿宋"/>
                <w:sz w:val="24"/>
              </w:rPr>
              <w:t>响应供应商属于失信被执行人。</w:t>
            </w:r>
          </w:p>
        </w:tc>
      </w:tr>
      <w:tr w14:paraId="10B63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noWrap/>
          </w:tcPr>
          <w:p w14:paraId="3496CE45">
            <w:pPr>
              <w:pStyle w:val="15"/>
              <w:widowControl/>
              <w:numPr>
                <w:ilvl w:val="0"/>
                <w:numId w:val="7"/>
              </w:numPr>
              <w:spacing w:line="360" w:lineRule="exact"/>
              <w:ind w:firstLineChars="0"/>
              <w:jc w:val="center"/>
              <w:rPr>
                <w:rFonts w:ascii="仿宋" w:hAnsi="仿宋" w:eastAsia="仿宋"/>
                <w:sz w:val="24"/>
              </w:rPr>
            </w:pPr>
          </w:p>
        </w:tc>
        <w:tc>
          <w:tcPr>
            <w:tcW w:w="7591" w:type="dxa"/>
          </w:tcPr>
          <w:p w14:paraId="00F538FA">
            <w:pPr>
              <w:widowControl/>
              <w:spacing w:line="360" w:lineRule="exact"/>
              <w:rPr>
                <w:rFonts w:ascii="仿宋" w:hAnsi="仿宋" w:eastAsia="仿宋"/>
                <w:sz w:val="24"/>
              </w:rPr>
            </w:pPr>
            <w:r>
              <w:rPr>
                <w:rFonts w:hint="eastAsia" w:ascii="仿宋" w:hAnsi="仿宋" w:eastAsia="仿宋"/>
                <w:sz w:val="24"/>
              </w:rPr>
              <w:t>响应供应商在响应截止后撤销响应文件的</w:t>
            </w:r>
          </w:p>
        </w:tc>
      </w:tr>
      <w:tr w14:paraId="27A89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noWrap/>
          </w:tcPr>
          <w:p w14:paraId="4D2E54F2">
            <w:pPr>
              <w:pStyle w:val="15"/>
              <w:widowControl/>
              <w:numPr>
                <w:ilvl w:val="0"/>
                <w:numId w:val="7"/>
              </w:numPr>
              <w:spacing w:line="360" w:lineRule="exact"/>
              <w:ind w:firstLineChars="0"/>
              <w:jc w:val="center"/>
              <w:rPr>
                <w:rFonts w:ascii="仿宋" w:hAnsi="仿宋" w:eastAsia="仿宋"/>
                <w:sz w:val="24"/>
              </w:rPr>
            </w:pPr>
          </w:p>
        </w:tc>
        <w:tc>
          <w:tcPr>
            <w:tcW w:w="7591" w:type="dxa"/>
          </w:tcPr>
          <w:p w14:paraId="52DD7AF3">
            <w:pPr>
              <w:widowControl/>
              <w:spacing w:line="360" w:lineRule="exact"/>
              <w:rPr>
                <w:rFonts w:ascii="仿宋" w:hAnsi="仿宋" w:eastAsia="仿宋"/>
                <w:sz w:val="24"/>
              </w:rPr>
            </w:pPr>
            <w:r>
              <w:rPr>
                <w:rFonts w:hint="eastAsia" w:ascii="仿宋" w:hAnsi="仿宋" w:eastAsia="仿宋"/>
                <w:sz w:val="24"/>
              </w:rPr>
              <w:t>响应供应商在提交响应文件截止时间后对响应文件提出实质性修改的</w:t>
            </w:r>
          </w:p>
        </w:tc>
      </w:tr>
      <w:tr w14:paraId="44AD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noWrap/>
          </w:tcPr>
          <w:p w14:paraId="35FB5A66">
            <w:pPr>
              <w:pStyle w:val="15"/>
              <w:widowControl/>
              <w:numPr>
                <w:ilvl w:val="0"/>
                <w:numId w:val="7"/>
              </w:numPr>
              <w:spacing w:line="360" w:lineRule="exact"/>
              <w:ind w:firstLineChars="0"/>
              <w:jc w:val="center"/>
              <w:rPr>
                <w:rFonts w:ascii="仿宋" w:hAnsi="仿宋" w:eastAsia="仿宋"/>
                <w:sz w:val="24"/>
              </w:rPr>
            </w:pPr>
          </w:p>
        </w:tc>
        <w:tc>
          <w:tcPr>
            <w:tcW w:w="7591" w:type="dxa"/>
            <w:shd w:val="clear" w:color="auto" w:fill="auto"/>
          </w:tcPr>
          <w:p w14:paraId="04A44563">
            <w:pPr>
              <w:widowControl/>
              <w:spacing w:line="360" w:lineRule="exact"/>
              <w:rPr>
                <w:rFonts w:ascii="仿宋" w:hAnsi="仿宋" w:eastAsia="仿宋"/>
                <w:sz w:val="24"/>
              </w:rPr>
            </w:pPr>
            <w:r>
              <w:rPr>
                <w:rFonts w:hint="eastAsia" w:ascii="仿宋" w:hAnsi="仿宋" w:eastAsia="仿宋"/>
                <w:sz w:val="24"/>
              </w:rPr>
              <w:t>过去存在不良行为并对采购人及所属单位造成严重影响后果的（响应供应商不良行为包括：</w:t>
            </w:r>
            <w:r>
              <w:rPr>
                <w:rFonts w:ascii="仿宋" w:hAnsi="仿宋" w:eastAsia="仿宋"/>
                <w:sz w:val="24"/>
              </w:rPr>
              <w:t>1.</w:t>
            </w:r>
            <w:r>
              <w:rPr>
                <w:rFonts w:hint="eastAsia" w:ascii="仿宋" w:hAnsi="仿宋" w:eastAsia="仿宋"/>
                <w:sz w:val="24"/>
              </w:rPr>
              <w:t>招评标过程中被证实存在违法、违规行为的；</w:t>
            </w:r>
            <w:r>
              <w:rPr>
                <w:rFonts w:ascii="仿宋" w:hAnsi="仿宋" w:eastAsia="仿宋"/>
                <w:sz w:val="24"/>
              </w:rPr>
              <w:t>2.</w:t>
            </w:r>
            <w:r>
              <w:rPr>
                <w:rFonts w:hint="eastAsia" w:ascii="仿宋" w:hAnsi="仿宋" w:eastAsia="仿宋"/>
                <w:sz w:val="24"/>
              </w:rPr>
              <w:t>履约过程中出现严重违约、重大合同纠纷的；</w:t>
            </w:r>
            <w:r>
              <w:rPr>
                <w:rFonts w:ascii="仿宋" w:hAnsi="仿宋" w:eastAsia="仿宋"/>
                <w:sz w:val="24"/>
              </w:rPr>
              <w:t>3.</w:t>
            </w:r>
            <w:r>
              <w:rPr>
                <w:rFonts w:hint="eastAsia" w:ascii="仿宋" w:hAnsi="仿宋" w:eastAsia="仿宋"/>
                <w:sz w:val="24"/>
              </w:rPr>
              <w:t>中标或成交后无正当理由不签订合同的）。</w:t>
            </w:r>
          </w:p>
        </w:tc>
      </w:tr>
      <w:tr w14:paraId="5E38F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noWrap/>
          </w:tcPr>
          <w:p w14:paraId="3A4DE8A9">
            <w:pPr>
              <w:pStyle w:val="15"/>
              <w:widowControl/>
              <w:numPr>
                <w:ilvl w:val="0"/>
                <w:numId w:val="7"/>
              </w:numPr>
              <w:spacing w:line="360" w:lineRule="exact"/>
              <w:ind w:firstLineChars="0"/>
              <w:jc w:val="center"/>
              <w:rPr>
                <w:rFonts w:ascii="仿宋" w:hAnsi="仿宋" w:eastAsia="仿宋"/>
                <w:sz w:val="24"/>
              </w:rPr>
            </w:pPr>
          </w:p>
        </w:tc>
        <w:tc>
          <w:tcPr>
            <w:tcW w:w="7591" w:type="dxa"/>
            <w:shd w:val="clear" w:color="auto" w:fill="auto"/>
          </w:tcPr>
          <w:p w14:paraId="7C900575">
            <w:pPr>
              <w:widowControl/>
              <w:spacing w:line="360" w:lineRule="exact"/>
              <w:rPr>
                <w:rFonts w:ascii="仿宋" w:hAnsi="仿宋" w:eastAsia="仿宋"/>
                <w:sz w:val="24"/>
              </w:rPr>
            </w:pPr>
            <w:r>
              <w:rPr>
                <w:rFonts w:hint="eastAsia" w:ascii="仿宋" w:hAnsi="仿宋" w:eastAsia="仿宋"/>
                <w:sz w:val="24"/>
              </w:rPr>
              <w:t>经评审委员会评定，认为所有报价均明显高出市场合理价时，可以否决所有报价。</w:t>
            </w:r>
          </w:p>
        </w:tc>
      </w:tr>
      <w:tr w14:paraId="6B62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noWrap/>
          </w:tcPr>
          <w:p w14:paraId="420EB88A">
            <w:pPr>
              <w:pStyle w:val="15"/>
              <w:widowControl/>
              <w:numPr>
                <w:ilvl w:val="0"/>
                <w:numId w:val="7"/>
              </w:numPr>
              <w:spacing w:line="360" w:lineRule="exact"/>
              <w:ind w:firstLineChars="0"/>
              <w:jc w:val="center"/>
              <w:rPr>
                <w:rFonts w:ascii="仿宋" w:hAnsi="仿宋" w:eastAsia="仿宋"/>
                <w:sz w:val="24"/>
              </w:rPr>
            </w:pPr>
          </w:p>
        </w:tc>
        <w:tc>
          <w:tcPr>
            <w:tcW w:w="7591" w:type="dxa"/>
          </w:tcPr>
          <w:p w14:paraId="5A2B48A4">
            <w:pPr>
              <w:widowControl/>
              <w:spacing w:line="360" w:lineRule="exact"/>
              <w:rPr>
                <w:rFonts w:ascii="仿宋" w:hAnsi="仿宋" w:eastAsia="仿宋"/>
                <w:sz w:val="24"/>
              </w:rPr>
            </w:pPr>
            <w:r>
              <w:rPr>
                <w:rFonts w:hint="eastAsia" w:ascii="仿宋" w:hAnsi="仿宋" w:eastAsia="仿宋"/>
                <w:sz w:val="24"/>
              </w:rPr>
              <w:t>响应供应商被采购方或华润燃气集团任何一方列入黑名单。</w:t>
            </w:r>
          </w:p>
        </w:tc>
      </w:tr>
      <w:tr w14:paraId="1C34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noWrap/>
            <w:vAlign w:val="center"/>
          </w:tcPr>
          <w:p w14:paraId="35EA76C4">
            <w:pPr>
              <w:pStyle w:val="15"/>
              <w:widowControl/>
              <w:numPr>
                <w:ilvl w:val="0"/>
                <w:numId w:val="7"/>
              </w:numPr>
              <w:spacing w:line="360" w:lineRule="exact"/>
              <w:ind w:firstLineChars="0"/>
              <w:jc w:val="center"/>
              <w:rPr>
                <w:rFonts w:ascii="仿宋" w:hAnsi="仿宋" w:eastAsia="仿宋"/>
                <w:sz w:val="24"/>
              </w:rPr>
            </w:pPr>
          </w:p>
        </w:tc>
        <w:tc>
          <w:tcPr>
            <w:tcW w:w="7591" w:type="dxa"/>
            <w:vAlign w:val="center"/>
          </w:tcPr>
          <w:p w14:paraId="46E298E0">
            <w:pPr>
              <w:widowControl/>
              <w:jc w:val="left"/>
              <w:rPr>
                <w:rFonts w:ascii="仿宋" w:hAnsi="仿宋" w:eastAsia="仿宋"/>
                <w:color w:val="000000"/>
                <w:kern w:val="0"/>
                <w:sz w:val="24"/>
              </w:rPr>
            </w:pPr>
            <w:r>
              <w:rPr>
                <w:rFonts w:hint="eastAsia" w:ascii="仿宋" w:hAnsi="仿宋" w:eastAsia="仿宋"/>
                <w:color w:val="000000"/>
                <w:kern w:val="0"/>
                <w:sz w:val="24"/>
              </w:rPr>
              <w:t>关联企业参加同标段或未划分标段的同一项目响应，关联关系认定详见第二卷</w:t>
            </w:r>
            <w:r>
              <w:rPr>
                <w:rFonts w:ascii="仿宋" w:hAnsi="仿宋" w:eastAsia="仿宋"/>
                <w:color w:val="000000"/>
                <w:kern w:val="0"/>
                <w:sz w:val="24"/>
              </w:rPr>
              <w:t>《附件</w:t>
            </w:r>
            <w:r>
              <w:rPr>
                <w:rFonts w:hint="eastAsia" w:ascii="仿宋" w:hAnsi="仿宋" w:eastAsia="仿宋"/>
                <w:color w:val="000000"/>
                <w:kern w:val="0"/>
                <w:sz w:val="24"/>
              </w:rPr>
              <w:t>一</w:t>
            </w:r>
            <w:r>
              <w:rPr>
                <w:rFonts w:ascii="仿宋" w:hAnsi="仿宋" w:eastAsia="仿宋"/>
                <w:color w:val="000000"/>
                <w:kern w:val="0"/>
                <w:sz w:val="24"/>
              </w:rPr>
              <w:t>：供应商关联</w:t>
            </w:r>
            <w:r>
              <w:rPr>
                <w:rFonts w:hint="eastAsia" w:ascii="仿宋" w:hAnsi="仿宋" w:eastAsia="仿宋"/>
                <w:color w:val="000000"/>
                <w:kern w:val="0"/>
                <w:sz w:val="24"/>
              </w:rPr>
              <w:t>企业</w:t>
            </w:r>
            <w:r>
              <w:rPr>
                <w:rFonts w:ascii="仿宋" w:hAnsi="仿宋" w:eastAsia="仿宋"/>
                <w:color w:val="000000"/>
                <w:kern w:val="0"/>
                <w:sz w:val="24"/>
              </w:rPr>
              <w:t>认定》。</w:t>
            </w:r>
          </w:p>
        </w:tc>
      </w:tr>
    </w:tbl>
    <w:p w14:paraId="6F0E5A26">
      <w:pPr>
        <w:pStyle w:val="15"/>
        <w:numPr>
          <w:ilvl w:val="3"/>
          <w:numId w:val="6"/>
        </w:numPr>
        <w:overflowPunct w:val="0"/>
        <w:spacing w:line="360" w:lineRule="auto"/>
        <w:ind w:left="0" w:firstLine="480"/>
        <w:rPr>
          <w:rFonts w:ascii="仿宋" w:hAnsi="仿宋" w:eastAsia="仿宋"/>
          <w:kern w:val="0"/>
          <w:sz w:val="24"/>
        </w:rPr>
      </w:pPr>
      <w:r>
        <w:rPr>
          <w:rFonts w:hint="eastAsia" w:eastAsia="仿宋"/>
          <w:kern w:val="0"/>
          <w:sz w:val="24"/>
          <w:highlight w:val="none"/>
        </w:rPr>
        <w:t>若采购文件有列举品牌、厂家等内容的条款要求，供应商可以提供所列举品牌、厂家或等同及以上的其他品牌、厂家；供应商若提供所列举品牌、厂家之外的其他品牌、厂家，需要提交相关的技术性能、应用业绩、认证情况等证明文件，最终由评审专家评审。</w:t>
      </w:r>
    </w:p>
    <w:p w14:paraId="586C7528">
      <w:pPr>
        <w:pStyle w:val="15"/>
        <w:numPr>
          <w:ilvl w:val="0"/>
          <w:numId w:val="0"/>
        </w:numPr>
        <w:overflowPunct w:val="0"/>
        <w:spacing w:line="360" w:lineRule="auto"/>
        <w:rPr>
          <w:rFonts w:ascii="仿宋" w:hAnsi="仿宋" w:eastAsia="仿宋"/>
          <w:kern w:val="0"/>
          <w:sz w:val="24"/>
        </w:rPr>
      </w:pPr>
    </w:p>
    <w:p w14:paraId="5E31768D">
      <w:pPr>
        <w:pStyle w:val="3"/>
        <w:adjustRightInd w:val="0"/>
        <w:snapToGrid w:val="0"/>
        <w:spacing w:before="120" w:after="120" w:line="360" w:lineRule="auto"/>
        <w:jc w:val="left"/>
        <w:rPr>
          <w:rFonts w:ascii="仿宋" w:hAnsi="仿宋" w:eastAsia="仿宋"/>
          <w:sz w:val="24"/>
          <w:szCs w:val="24"/>
        </w:rPr>
      </w:pPr>
      <w:bookmarkStart w:id="11" w:name="_Toc186288242"/>
      <w:bookmarkStart w:id="12" w:name="_Toc147758820"/>
      <w:bookmarkStart w:id="13" w:name="_Toc143272057"/>
      <w:r>
        <w:rPr>
          <w:rFonts w:hint="eastAsia" w:ascii="仿宋" w:hAnsi="仿宋" w:eastAsia="仿宋"/>
          <w:sz w:val="24"/>
          <w:szCs w:val="24"/>
        </w:rPr>
        <w:t>附件一：供应商关联企业认定</w:t>
      </w:r>
      <w:bookmarkEnd w:id="11"/>
      <w:bookmarkEnd w:id="12"/>
      <w:bookmarkEnd w:id="13"/>
    </w:p>
    <w:p w14:paraId="3FC3F9DF">
      <w:pPr>
        <w:adjustRightInd w:val="0"/>
        <w:snapToGrid w:val="0"/>
        <w:spacing w:line="360" w:lineRule="auto"/>
        <w:ind w:firstLine="480" w:firstLineChars="200"/>
        <w:rPr>
          <w:rFonts w:ascii="仿宋" w:hAnsi="仿宋" w:eastAsia="仿宋" w:cs="楷体"/>
          <w:bCs/>
          <w:color w:val="000000"/>
          <w:sz w:val="24"/>
        </w:rPr>
      </w:pPr>
      <w:r>
        <w:rPr>
          <w:rFonts w:hint="eastAsia" w:ascii="仿宋" w:hAnsi="仿宋" w:eastAsia="仿宋" w:cs="楷体"/>
          <w:bCs/>
          <w:color w:val="000000"/>
          <w:sz w:val="24"/>
        </w:rPr>
        <w:t>一、本规定所称关联企业：企业与其它企业、组织或者个人具有下列关系之一：</w:t>
      </w:r>
    </w:p>
    <w:p w14:paraId="381DC643">
      <w:pPr>
        <w:adjustRightInd w:val="0"/>
        <w:snapToGrid w:val="0"/>
        <w:spacing w:line="360" w:lineRule="auto"/>
        <w:ind w:firstLine="480" w:firstLineChars="200"/>
        <w:rPr>
          <w:rFonts w:ascii="仿宋" w:hAnsi="仿宋" w:eastAsia="仿宋" w:cs="楷体"/>
          <w:bCs/>
          <w:color w:val="000000"/>
          <w:sz w:val="24"/>
        </w:rPr>
      </w:pPr>
      <w:r>
        <w:rPr>
          <w:rFonts w:hint="eastAsia" w:ascii="仿宋" w:hAnsi="仿宋" w:eastAsia="仿宋" w:cs="楷体"/>
          <w:bCs/>
          <w:color w:val="000000"/>
          <w:sz w:val="24"/>
        </w:rPr>
        <w:t>（一）单位负责人为同一人。</w:t>
      </w:r>
    </w:p>
    <w:p w14:paraId="4AAF7FD3">
      <w:pPr>
        <w:adjustRightInd w:val="0"/>
        <w:snapToGrid w:val="0"/>
        <w:spacing w:line="360" w:lineRule="auto"/>
        <w:ind w:firstLine="480" w:firstLineChars="200"/>
        <w:rPr>
          <w:rFonts w:ascii="仿宋" w:hAnsi="仿宋" w:eastAsia="仿宋" w:cs="仿宋"/>
          <w:sz w:val="24"/>
        </w:rPr>
      </w:pPr>
      <w:r>
        <w:rPr>
          <w:rFonts w:hint="eastAsia" w:ascii="仿宋" w:hAnsi="仿宋" w:eastAsia="仿宋" w:cs="楷体"/>
          <w:bCs/>
          <w:color w:val="000000"/>
          <w:sz w:val="24"/>
        </w:rPr>
        <w:t>（二）</w:t>
      </w:r>
      <w:r>
        <w:rPr>
          <w:rFonts w:hint="eastAsia" w:ascii="仿宋" w:hAnsi="仿宋" w:eastAsia="仿宋" w:cs="仿宋"/>
          <w:sz w:val="24"/>
        </w:rPr>
        <w:t>单位之间存在控股、管理关系，如母子公司。</w:t>
      </w:r>
    </w:p>
    <w:p w14:paraId="267FDAF3">
      <w:pPr>
        <w:adjustRightInd w:val="0"/>
        <w:snapToGrid w:val="0"/>
        <w:spacing w:line="360" w:lineRule="auto"/>
        <w:ind w:firstLine="480" w:firstLineChars="200"/>
        <w:rPr>
          <w:rFonts w:ascii="仿宋" w:hAnsi="仿宋" w:eastAsia="仿宋" w:cs="楷体"/>
          <w:bCs/>
          <w:color w:val="000000"/>
          <w:sz w:val="24"/>
        </w:rPr>
      </w:pPr>
      <w:r>
        <w:rPr>
          <w:rFonts w:hint="eastAsia" w:ascii="仿宋" w:hAnsi="仿宋" w:eastAsia="仿宋" w:cs="楷体"/>
          <w:bCs/>
          <w:color w:val="000000"/>
          <w:sz w:val="24"/>
        </w:rPr>
        <w:t>（三）一方直接或间接持有另一方的股份总和达到25%以上，或者双方直接或间接同为第三方所持有的股份达到25%以上。</w:t>
      </w:r>
    </w:p>
    <w:p w14:paraId="7A8FA187">
      <w:pPr>
        <w:adjustRightInd w:val="0"/>
        <w:snapToGrid w:val="0"/>
        <w:spacing w:line="360" w:lineRule="auto"/>
        <w:ind w:firstLine="480" w:firstLineChars="200"/>
        <w:rPr>
          <w:rFonts w:ascii="仿宋" w:hAnsi="仿宋" w:eastAsia="仿宋" w:cs="楷体"/>
          <w:bCs/>
          <w:color w:val="000000"/>
          <w:sz w:val="24"/>
        </w:rPr>
      </w:pPr>
      <w:r>
        <w:rPr>
          <w:rFonts w:hint="eastAsia" w:ascii="仿宋" w:hAnsi="仿宋" w:eastAsia="仿宋" w:cs="楷体"/>
          <w:bCs/>
          <w:color w:val="000000"/>
          <w:sz w:val="24"/>
        </w:rPr>
        <w:t>如果一方通过中间方对另一方间接持有股份，只要一方对中间方持股比例达到25%以上，则一方对另一方的持股比例按照中间方对另一方的持股比例计算。</w:t>
      </w:r>
    </w:p>
    <w:p w14:paraId="48C3836D">
      <w:pPr>
        <w:adjustRightInd w:val="0"/>
        <w:snapToGrid w:val="0"/>
        <w:spacing w:line="360" w:lineRule="auto"/>
        <w:ind w:firstLine="480" w:firstLineChars="200"/>
        <w:rPr>
          <w:rFonts w:ascii="仿宋" w:hAnsi="仿宋" w:eastAsia="仿宋" w:cs="楷体"/>
          <w:bCs/>
          <w:color w:val="000000"/>
          <w:sz w:val="24"/>
        </w:rPr>
      </w:pPr>
      <w:r>
        <w:rPr>
          <w:rFonts w:hint="eastAsia" w:ascii="仿宋" w:hAnsi="仿宋" w:eastAsia="仿宋" w:cs="楷体"/>
          <w:bCs/>
          <w:color w:val="000000"/>
          <w:sz w:val="24"/>
        </w:rPr>
        <w:t>（四）双方在实质上具有其他共同利益的如下情形：</w:t>
      </w:r>
    </w:p>
    <w:p w14:paraId="6B56E075">
      <w:pPr>
        <w:adjustRightInd w:val="0"/>
        <w:snapToGrid w:val="0"/>
        <w:spacing w:line="360" w:lineRule="auto"/>
        <w:ind w:firstLine="480" w:firstLineChars="200"/>
        <w:rPr>
          <w:rFonts w:ascii="仿宋" w:hAnsi="仿宋" w:eastAsia="仿宋" w:cs="楷体"/>
          <w:bCs/>
          <w:color w:val="000000"/>
          <w:sz w:val="24"/>
        </w:rPr>
      </w:pPr>
      <w:r>
        <w:rPr>
          <w:rFonts w:hint="eastAsia" w:ascii="仿宋" w:hAnsi="仿宋" w:eastAsia="仿宋" w:cs="楷体"/>
          <w:bCs/>
          <w:color w:val="000000"/>
          <w:sz w:val="24"/>
        </w:rPr>
        <w:t>1、双方之间有相同自然人股东的。</w:t>
      </w:r>
    </w:p>
    <w:p w14:paraId="23F1069C">
      <w:pPr>
        <w:adjustRightInd w:val="0"/>
        <w:snapToGrid w:val="0"/>
        <w:spacing w:line="360" w:lineRule="auto"/>
        <w:ind w:firstLine="480" w:firstLineChars="200"/>
        <w:rPr>
          <w:rFonts w:ascii="仿宋" w:hAnsi="仿宋" w:eastAsia="仿宋" w:cs="楷体"/>
          <w:bCs/>
          <w:color w:val="000000"/>
          <w:sz w:val="24"/>
        </w:rPr>
      </w:pPr>
      <w:r>
        <w:rPr>
          <w:rFonts w:hint="eastAsia" w:ascii="仿宋" w:hAnsi="仿宋" w:eastAsia="仿宋" w:cs="楷体"/>
          <w:bCs/>
          <w:color w:val="000000"/>
          <w:sz w:val="24"/>
        </w:rPr>
        <w:t>2、双方同时直接持有第三方公司股份的。</w:t>
      </w:r>
    </w:p>
    <w:p w14:paraId="03BD195B">
      <w:pPr>
        <w:adjustRightInd w:val="0"/>
        <w:snapToGrid w:val="0"/>
        <w:spacing w:line="360" w:lineRule="auto"/>
        <w:ind w:firstLine="480" w:firstLineChars="200"/>
        <w:rPr>
          <w:rFonts w:ascii="仿宋" w:hAnsi="仿宋" w:eastAsia="仿宋" w:cs="楷体"/>
          <w:bCs/>
          <w:color w:val="000000"/>
          <w:sz w:val="24"/>
        </w:rPr>
      </w:pPr>
      <w:r>
        <w:rPr>
          <w:rFonts w:hint="eastAsia" w:ascii="仿宋" w:hAnsi="仿宋" w:eastAsia="仿宋" w:cs="楷体"/>
          <w:bCs/>
          <w:color w:val="000000"/>
          <w:sz w:val="24"/>
        </w:rPr>
        <w:t>3、一方自然人股东在另一方担任董事、监事或高级管理人员的。</w:t>
      </w:r>
    </w:p>
    <w:p w14:paraId="23EA9FBA">
      <w:pPr>
        <w:adjustRightInd w:val="0"/>
        <w:snapToGrid w:val="0"/>
        <w:spacing w:line="360" w:lineRule="auto"/>
        <w:ind w:firstLine="480" w:firstLineChars="200"/>
        <w:rPr>
          <w:rFonts w:ascii="仿宋" w:hAnsi="仿宋" w:eastAsia="仿宋" w:cs="楷体"/>
          <w:bCs/>
          <w:color w:val="000000"/>
          <w:sz w:val="24"/>
        </w:rPr>
      </w:pPr>
      <w:r>
        <w:rPr>
          <w:rFonts w:hint="eastAsia" w:ascii="仿宋" w:hAnsi="仿宋" w:eastAsia="仿宋" w:cs="楷体"/>
          <w:bCs/>
          <w:color w:val="000000"/>
          <w:sz w:val="24"/>
        </w:rPr>
        <w:t>4、双方之间有相同董事、监事或高级管理人员的。</w:t>
      </w:r>
    </w:p>
    <w:p w14:paraId="21CCB02B">
      <w:pPr>
        <w:adjustRightInd w:val="0"/>
        <w:snapToGrid w:val="0"/>
        <w:spacing w:line="360" w:lineRule="auto"/>
        <w:ind w:firstLine="480" w:firstLineChars="200"/>
        <w:rPr>
          <w:rFonts w:ascii="仿宋" w:hAnsi="仿宋" w:eastAsia="仿宋" w:cs="楷体"/>
          <w:bCs/>
          <w:color w:val="000000"/>
          <w:sz w:val="24"/>
        </w:rPr>
      </w:pPr>
      <w:r>
        <w:rPr>
          <w:rFonts w:hint="eastAsia" w:ascii="仿宋" w:hAnsi="仿宋" w:eastAsia="仿宋" w:cs="楷体"/>
          <w:bCs/>
          <w:color w:val="000000"/>
          <w:sz w:val="24"/>
        </w:rPr>
        <w:t>以上关系查询，以公共一般可查询方式等网站（如：天眼查、启信宝等）核查工商系统注册登记信息为准。</w:t>
      </w:r>
    </w:p>
    <w:p w14:paraId="40A3F2C3">
      <w:pPr>
        <w:adjustRightInd w:val="0"/>
        <w:snapToGrid w:val="0"/>
        <w:spacing w:line="360" w:lineRule="auto"/>
        <w:ind w:firstLine="480" w:firstLineChars="200"/>
        <w:rPr>
          <w:rFonts w:ascii="仿宋" w:hAnsi="仿宋" w:eastAsia="仿宋" w:cs="楷体"/>
          <w:bCs/>
          <w:color w:val="000000"/>
          <w:sz w:val="24"/>
        </w:rPr>
      </w:pPr>
      <w:r>
        <w:rPr>
          <w:rFonts w:hint="eastAsia" w:ascii="仿宋" w:hAnsi="仿宋" w:eastAsia="仿宋" w:cs="楷体"/>
          <w:bCs/>
          <w:color w:val="000000"/>
          <w:sz w:val="24"/>
        </w:rPr>
        <w:t>二、因国家持股或者由国有资产管理部门委派董事、高级管理人员而存在第（三）至第（四）项关系，不构成本规定所称的关联关系。</w:t>
      </w:r>
    </w:p>
    <w:p w14:paraId="61E938E9">
      <w:pPr>
        <w:adjustRightInd w:val="0"/>
        <w:snapToGrid w:val="0"/>
        <w:spacing w:line="360" w:lineRule="auto"/>
        <w:ind w:firstLine="480" w:firstLineChars="200"/>
        <w:rPr>
          <w:rFonts w:ascii="仿宋" w:hAnsi="仿宋" w:eastAsia="仿宋" w:cs="楷体"/>
          <w:bCs/>
          <w:color w:val="000000"/>
          <w:sz w:val="24"/>
        </w:rPr>
      </w:pPr>
      <w:r>
        <w:rPr>
          <w:rFonts w:hint="eastAsia" w:ascii="仿宋" w:hAnsi="仿宋" w:eastAsia="仿宋" w:cs="楷体"/>
          <w:bCs/>
          <w:color w:val="000000"/>
          <w:sz w:val="24"/>
        </w:rPr>
        <w:t>三、本规定所称的单位负责人：主要包括两类人员，一是单位的法定代表人（也称法人代表），即是指依法代表法人单位行使职权的负责人，如国有企业的总经理、公司的董事长、国家机关的最高行政官员等；二是按照法律、行政法规规定代表单位行使职权的负责人，即是指依法代表非法人单位行使职权的负责人，如代表合伙企业执行合伙企业事务的合作人、个人独资企业的投资人等。</w:t>
      </w:r>
    </w:p>
    <w:p w14:paraId="5DD82E0F">
      <w:pPr>
        <w:spacing w:line="360" w:lineRule="auto"/>
        <w:ind w:firstLine="480" w:firstLineChars="200"/>
        <w:rPr>
          <w:rFonts w:ascii="仿宋" w:hAnsi="仿宋" w:eastAsia="仿宋"/>
          <w:kern w:val="0"/>
          <w:sz w:val="24"/>
        </w:rPr>
      </w:pPr>
      <w:r>
        <w:rPr>
          <w:rFonts w:hint="eastAsia" w:ascii="仿宋" w:hAnsi="仿宋" w:eastAsia="仿宋" w:cs="楷体"/>
          <w:bCs/>
          <w:color w:val="000000"/>
          <w:sz w:val="24"/>
        </w:rPr>
        <w:t>四、本规定所称的高级管理人员：是指公司的总经理、副总经理、财务负责人、上市公司董事会秘书和公司章程规定的其他人员。</w:t>
      </w:r>
      <w:r>
        <w:rPr>
          <w:rFonts w:ascii="仿宋" w:hAnsi="仿宋" w:eastAsia="仿宋"/>
          <w:sz w:val="24"/>
        </w:rPr>
        <w:br w:type="page"/>
      </w:r>
    </w:p>
    <w:p w14:paraId="4A703F30">
      <w:pPr>
        <w:pStyle w:val="2"/>
        <w:tabs>
          <w:tab w:val="left" w:pos="3686"/>
        </w:tabs>
        <w:adjustRightInd w:val="0"/>
        <w:snapToGrid w:val="0"/>
        <w:spacing w:before="0" w:after="0" w:line="360" w:lineRule="auto"/>
        <w:jc w:val="center"/>
        <w:rPr>
          <w:rFonts w:eastAsia="仿宋"/>
          <w:sz w:val="28"/>
        </w:rPr>
      </w:pPr>
      <w:r>
        <w:rPr>
          <w:rFonts w:hint="eastAsia" w:eastAsia="仿宋"/>
          <w:sz w:val="28"/>
        </w:rPr>
        <w:t>第三卷 响应文件格式</w:t>
      </w:r>
    </w:p>
    <w:p w14:paraId="76FB45A4">
      <w:pPr>
        <w:jc w:val="center"/>
        <w:rPr>
          <w:rFonts w:ascii="仿宋" w:hAnsi="仿宋" w:eastAsia="仿宋" w:cs="仿宋"/>
          <w:b/>
          <w:bCs/>
          <w:sz w:val="28"/>
          <w:szCs w:val="28"/>
        </w:rPr>
      </w:pPr>
      <w:r>
        <w:rPr>
          <w:rFonts w:hint="eastAsia" w:ascii="仿宋" w:hAnsi="仿宋" w:eastAsia="仿宋" w:cs="仿宋"/>
          <w:b/>
          <w:bCs/>
          <w:sz w:val="28"/>
          <w:szCs w:val="28"/>
        </w:rPr>
        <w:t>目录</w:t>
      </w:r>
    </w:p>
    <w:p w14:paraId="08EA9834">
      <w:pPr>
        <w:adjustRightInd w:val="0"/>
        <w:snapToGrid w:val="0"/>
        <w:spacing w:line="600" w:lineRule="exact"/>
        <w:rPr>
          <w:rFonts w:ascii="仿宋" w:hAnsi="仿宋" w:eastAsia="仿宋"/>
          <w:sz w:val="24"/>
        </w:rPr>
      </w:pPr>
      <w:r>
        <w:rPr>
          <w:rFonts w:hint="eastAsia" w:ascii="仿宋" w:hAnsi="仿宋" w:eastAsia="仿宋"/>
          <w:sz w:val="24"/>
        </w:rPr>
        <w:t>一、报价一览表</w:t>
      </w:r>
    </w:p>
    <w:p w14:paraId="2C0E2BD6">
      <w:pPr>
        <w:adjustRightInd w:val="0"/>
        <w:snapToGrid w:val="0"/>
        <w:spacing w:line="600" w:lineRule="exact"/>
        <w:rPr>
          <w:rFonts w:ascii="仿宋" w:hAnsi="仿宋" w:eastAsia="仿宋"/>
          <w:sz w:val="24"/>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sz w:val="24"/>
        </w:rPr>
        <w:t>二、报价人资格要求等有关材料</w:t>
      </w:r>
    </w:p>
    <w:p w14:paraId="4326D0EC">
      <w:pPr>
        <w:pStyle w:val="3"/>
        <w:numPr>
          <w:ilvl w:val="0"/>
          <w:numId w:val="8"/>
        </w:numPr>
        <w:adjustRightInd w:val="0"/>
        <w:snapToGrid w:val="0"/>
        <w:spacing w:before="120" w:after="120" w:line="360" w:lineRule="auto"/>
        <w:ind w:left="0" w:firstLine="0"/>
        <w:jc w:val="left"/>
        <w:rPr>
          <w:rFonts w:eastAsia="仿宋"/>
          <w:sz w:val="24"/>
        </w:rPr>
      </w:pPr>
      <w:r>
        <w:rPr>
          <w:rFonts w:hint="eastAsia" w:eastAsia="仿宋"/>
          <w:sz w:val="24"/>
        </w:rPr>
        <w:t>报价一览表</w:t>
      </w:r>
    </w:p>
    <w:p w14:paraId="55C7A6F4">
      <w:pPr>
        <w:spacing w:line="360" w:lineRule="auto"/>
        <w:ind w:firstLine="240" w:firstLineChars="100"/>
        <w:rPr>
          <w:rFonts w:ascii="仿宋" w:hAnsi="仿宋" w:eastAsia="仿宋" w:cstheme="minorBidi"/>
          <w:sz w:val="24"/>
        </w:rPr>
      </w:pPr>
      <w:r>
        <w:rPr>
          <w:rFonts w:hint="eastAsia" w:ascii="仿宋" w:hAnsi="仿宋" w:eastAsia="仿宋" w:cstheme="minorBidi"/>
          <w:sz w:val="24"/>
          <w:szCs w:val="28"/>
        </w:rPr>
        <w:t>项目名</w:t>
      </w:r>
      <w:r>
        <w:rPr>
          <w:rFonts w:hint="eastAsia" w:ascii="仿宋" w:hAnsi="仿宋" w:eastAsia="仿宋" w:cstheme="minorBidi"/>
          <w:sz w:val="24"/>
        </w:rPr>
        <w:t>称：</w:t>
      </w:r>
      <w:r>
        <w:rPr>
          <w:rFonts w:hint="eastAsia" w:ascii="仿宋" w:hAnsi="仿宋" w:eastAsia="仿宋" w:cstheme="minorBidi"/>
          <w:sz w:val="24"/>
          <w:highlight w:val="none"/>
        </w:rPr>
        <w:t>计量器具委托检测与维护项目</w:t>
      </w:r>
    </w:p>
    <w:tbl>
      <w:tblPr>
        <w:tblStyle w:val="10"/>
        <w:tblW w:w="5000" w:type="pct"/>
        <w:jc w:val="center"/>
        <w:tblLayout w:type="fixed"/>
        <w:tblCellMar>
          <w:top w:w="0" w:type="dxa"/>
          <w:left w:w="108" w:type="dxa"/>
          <w:bottom w:w="0" w:type="dxa"/>
          <w:right w:w="108" w:type="dxa"/>
        </w:tblCellMar>
      </w:tblPr>
      <w:tblGrid>
        <w:gridCol w:w="757"/>
        <w:gridCol w:w="1207"/>
        <w:gridCol w:w="1178"/>
        <w:gridCol w:w="868"/>
        <w:gridCol w:w="1200"/>
        <w:gridCol w:w="1214"/>
        <w:gridCol w:w="1188"/>
        <w:gridCol w:w="910"/>
      </w:tblGrid>
      <w:tr w14:paraId="55E013E1">
        <w:tblPrEx>
          <w:tblCellMar>
            <w:top w:w="0" w:type="dxa"/>
            <w:left w:w="108" w:type="dxa"/>
            <w:bottom w:w="0" w:type="dxa"/>
            <w:right w:w="108" w:type="dxa"/>
          </w:tblCellMar>
        </w:tblPrEx>
        <w:trPr>
          <w:trHeight w:val="776" w:hRule="atLeast"/>
          <w:jc w:val="center"/>
        </w:trPr>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34B246">
            <w:pPr>
              <w:widowControl/>
              <w:adjustRightInd w:val="0"/>
              <w:snapToGrid w:val="0"/>
              <w:spacing w:line="276" w:lineRule="auto"/>
              <w:jc w:val="center"/>
              <w:rPr>
                <w:rFonts w:ascii="仿宋" w:hAnsi="仿宋" w:eastAsia="仿宋" w:cs="宋体"/>
                <w:b/>
                <w:kern w:val="0"/>
                <w:sz w:val="24"/>
              </w:rPr>
            </w:pPr>
            <w:r>
              <w:rPr>
                <w:rFonts w:hint="eastAsia" w:ascii="仿宋" w:hAnsi="仿宋" w:eastAsia="仿宋" w:cs="宋体"/>
                <w:b/>
                <w:kern w:val="0"/>
                <w:sz w:val="24"/>
              </w:rPr>
              <w:t>序号</w:t>
            </w:r>
          </w:p>
        </w:tc>
        <w:tc>
          <w:tcPr>
            <w:tcW w:w="708" w:type="pct"/>
            <w:tcBorders>
              <w:top w:val="single" w:color="auto" w:sz="4" w:space="0"/>
              <w:left w:val="nil"/>
              <w:bottom w:val="single" w:color="auto" w:sz="4" w:space="0"/>
              <w:right w:val="single" w:color="auto" w:sz="4" w:space="0"/>
            </w:tcBorders>
            <w:shd w:val="clear" w:color="auto" w:fill="auto"/>
            <w:noWrap/>
            <w:vAlign w:val="center"/>
          </w:tcPr>
          <w:p w14:paraId="5C342B2E">
            <w:pPr>
              <w:widowControl/>
              <w:adjustRightInd w:val="0"/>
              <w:snapToGrid w:val="0"/>
              <w:spacing w:line="276" w:lineRule="auto"/>
              <w:jc w:val="center"/>
              <w:rPr>
                <w:rFonts w:ascii="仿宋" w:hAnsi="仿宋" w:eastAsia="仿宋" w:cs="宋体"/>
                <w:b/>
                <w:kern w:val="0"/>
                <w:sz w:val="24"/>
              </w:rPr>
            </w:pPr>
            <w:r>
              <w:rPr>
                <w:rFonts w:hint="eastAsia" w:ascii="仿宋" w:hAnsi="仿宋" w:eastAsia="仿宋" w:cs="宋体"/>
                <w:b/>
                <w:kern w:val="0"/>
                <w:sz w:val="24"/>
              </w:rPr>
              <w:t>项目/产品名称</w:t>
            </w:r>
          </w:p>
        </w:tc>
        <w:tc>
          <w:tcPr>
            <w:tcW w:w="691" w:type="pct"/>
            <w:tcBorders>
              <w:top w:val="single" w:color="auto" w:sz="4" w:space="0"/>
              <w:left w:val="nil"/>
              <w:bottom w:val="single" w:color="auto" w:sz="4" w:space="0"/>
              <w:right w:val="single" w:color="auto" w:sz="4" w:space="0"/>
            </w:tcBorders>
            <w:shd w:val="clear" w:color="auto" w:fill="auto"/>
            <w:noWrap/>
            <w:vAlign w:val="center"/>
          </w:tcPr>
          <w:p w14:paraId="1675E55A">
            <w:pPr>
              <w:widowControl/>
              <w:adjustRightInd w:val="0"/>
              <w:snapToGrid w:val="0"/>
              <w:spacing w:line="276" w:lineRule="auto"/>
              <w:jc w:val="center"/>
              <w:rPr>
                <w:rFonts w:ascii="仿宋" w:hAnsi="仿宋" w:eastAsia="仿宋" w:cs="宋体"/>
                <w:b/>
                <w:kern w:val="0"/>
                <w:sz w:val="24"/>
              </w:rPr>
            </w:pPr>
            <w:r>
              <w:rPr>
                <w:rFonts w:hint="eastAsia" w:ascii="仿宋" w:hAnsi="仿宋" w:eastAsia="仿宋" w:cs="宋体"/>
                <w:b/>
                <w:kern w:val="0"/>
                <w:sz w:val="24"/>
              </w:rPr>
              <w:t>规格型号</w:t>
            </w:r>
          </w:p>
        </w:tc>
        <w:tc>
          <w:tcPr>
            <w:tcW w:w="509" w:type="pct"/>
            <w:tcBorders>
              <w:top w:val="single" w:color="auto" w:sz="4" w:space="0"/>
              <w:left w:val="nil"/>
              <w:bottom w:val="single" w:color="auto" w:sz="4" w:space="0"/>
              <w:right w:val="single" w:color="auto" w:sz="4" w:space="0"/>
            </w:tcBorders>
            <w:shd w:val="clear" w:color="auto" w:fill="auto"/>
            <w:noWrap/>
            <w:vAlign w:val="center"/>
          </w:tcPr>
          <w:p w14:paraId="5F99513D">
            <w:pPr>
              <w:widowControl/>
              <w:adjustRightInd w:val="0"/>
              <w:snapToGrid w:val="0"/>
              <w:spacing w:line="276" w:lineRule="auto"/>
              <w:jc w:val="center"/>
              <w:rPr>
                <w:rFonts w:ascii="仿宋" w:hAnsi="仿宋" w:eastAsia="仿宋" w:cs="宋体"/>
                <w:b/>
                <w:kern w:val="0"/>
                <w:sz w:val="24"/>
              </w:rPr>
            </w:pPr>
            <w:r>
              <w:rPr>
                <w:rFonts w:ascii="仿宋" w:hAnsi="仿宋" w:eastAsia="仿宋" w:cs="宋体"/>
                <w:b/>
                <w:kern w:val="0"/>
                <w:sz w:val="24"/>
              </w:rPr>
              <w:t>计量单位</w:t>
            </w:r>
          </w:p>
        </w:tc>
        <w:tc>
          <w:tcPr>
            <w:tcW w:w="704" w:type="pct"/>
            <w:tcBorders>
              <w:top w:val="single" w:color="auto" w:sz="4" w:space="0"/>
              <w:left w:val="nil"/>
              <w:bottom w:val="single" w:color="auto" w:sz="4" w:space="0"/>
              <w:right w:val="single" w:color="auto" w:sz="4" w:space="0"/>
            </w:tcBorders>
            <w:shd w:val="clear" w:color="auto" w:fill="auto"/>
            <w:vAlign w:val="center"/>
          </w:tcPr>
          <w:p w14:paraId="55D6CD29">
            <w:pPr>
              <w:widowControl/>
              <w:adjustRightInd w:val="0"/>
              <w:snapToGrid w:val="0"/>
              <w:spacing w:line="276" w:lineRule="auto"/>
              <w:jc w:val="center"/>
              <w:rPr>
                <w:rFonts w:ascii="仿宋" w:hAnsi="仿宋" w:eastAsia="仿宋" w:cs="宋体"/>
                <w:b/>
                <w:kern w:val="0"/>
                <w:sz w:val="24"/>
              </w:rPr>
            </w:pPr>
            <w:r>
              <w:rPr>
                <w:rFonts w:hint="eastAsia" w:ascii="仿宋" w:hAnsi="仿宋" w:eastAsia="仿宋" w:cs="宋体"/>
                <w:b/>
                <w:kern w:val="0"/>
                <w:sz w:val="24"/>
              </w:rPr>
              <w:t>采购量（虚拟）</w:t>
            </w:r>
          </w:p>
        </w:tc>
        <w:tc>
          <w:tcPr>
            <w:tcW w:w="712" w:type="pct"/>
            <w:tcBorders>
              <w:top w:val="single" w:color="auto" w:sz="4" w:space="0"/>
              <w:left w:val="nil"/>
              <w:bottom w:val="single" w:color="auto" w:sz="4" w:space="0"/>
              <w:right w:val="single" w:color="auto" w:sz="4" w:space="0"/>
            </w:tcBorders>
            <w:shd w:val="clear" w:color="auto" w:fill="auto"/>
            <w:noWrap/>
            <w:vAlign w:val="center"/>
          </w:tcPr>
          <w:p w14:paraId="023860A6">
            <w:pPr>
              <w:widowControl/>
              <w:adjustRightInd w:val="0"/>
              <w:snapToGrid w:val="0"/>
              <w:spacing w:line="276" w:lineRule="auto"/>
              <w:jc w:val="center"/>
              <w:rPr>
                <w:rFonts w:ascii="仿宋" w:hAnsi="仿宋" w:eastAsia="仿宋" w:cs="宋体"/>
                <w:b/>
                <w:kern w:val="0"/>
                <w:sz w:val="24"/>
              </w:rPr>
            </w:pPr>
            <w:r>
              <w:rPr>
                <w:rFonts w:hint="eastAsia" w:ascii="仿宋" w:hAnsi="仿宋" w:eastAsia="仿宋" w:cs="宋体"/>
                <w:b/>
                <w:kern w:val="0"/>
                <w:sz w:val="24"/>
              </w:rPr>
              <w:t>单价含税（元）</w:t>
            </w:r>
          </w:p>
        </w:tc>
        <w:tc>
          <w:tcPr>
            <w:tcW w:w="6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3F91E2">
            <w:pPr>
              <w:widowControl/>
              <w:adjustRightInd w:val="0"/>
              <w:snapToGrid w:val="0"/>
              <w:spacing w:line="276" w:lineRule="auto"/>
              <w:jc w:val="center"/>
              <w:rPr>
                <w:rFonts w:ascii="仿宋" w:hAnsi="仿宋" w:eastAsia="仿宋" w:cs="宋体"/>
                <w:b/>
                <w:kern w:val="0"/>
                <w:sz w:val="24"/>
              </w:rPr>
            </w:pPr>
            <w:r>
              <w:rPr>
                <w:rFonts w:hint="eastAsia" w:ascii="仿宋" w:hAnsi="仿宋" w:eastAsia="仿宋" w:cs="宋体"/>
                <w:b/>
                <w:kern w:val="0"/>
                <w:sz w:val="24"/>
              </w:rPr>
              <w:t>小计</w:t>
            </w:r>
          </w:p>
        </w:tc>
        <w:tc>
          <w:tcPr>
            <w:tcW w:w="5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B002DC">
            <w:pPr>
              <w:widowControl/>
              <w:adjustRightInd w:val="0"/>
              <w:snapToGrid w:val="0"/>
              <w:spacing w:line="276" w:lineRule="auto"/>
              <w:jc w:val="center"/>
              <w:rPr>
                <w:rFonts w:ascii="仿宋" w:hAnsi="仿宋" w:eastAsia="仿宋" w:cs="宋体"/>
                <w:b/>
                <w:kern w:val="0"/>
                <w:sz w:val="24"/>
              </w:rPr>
            </w:pPr>
            <w:r>
              <w:rPr>
                <w:rFonts w:hint="eastAsia" w:ascii="仿宋" w:hAnsi="仿宋" w:eastAsia="仿宋" w:cs="宋体"/>
                <w:b/>
                <w:kern w:val="0"/>
                <w:sz w:val="24"/>
              </w:rPr>
              <w:t>备注</w:t>
            </w:r>
          </w:p>
        </w:tc>
      </w:tr>
      <w:tr w14:paraId="0BF9B204">
        <w:tblPrEx>
          <w:tblCellMar>
            <w:top w:w="0" w:type="dxa"/>
            <w:left w:w="108" w:type="dxa"/>
            <w:bottom w:w="0" w:type="dxa"/>
            <w:right w:w="108" w:type="dxa"/>
          </w:tblCellMar>
        </w:tblPrEx>
        <w:trPr>
          <w:trHeight w:val="490" w:hRule="atLeast"/>
          <w:jc w:val="center"/>
        </w:trPr>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5957E4">
            <w:pPr>
              <w:widowControl/>
              <w:adjustRightInd w:val="0"/>
              <w:snapToGrid w:val="0"/>
              <w:spacing w:line="276" w:lineRule="auto"/>
              <w:jc w:val="center"/>
              <w:rPr>
                <w:rFonts w:ascii="仿宋" w:hAnsi="仿宋" w:eastAsia="仿宋" w:cs="宋体"/>
                <w:kern w:val="0"/>
                <w:sz w:val="24"/>
              </w:rPr>
            </w:pPr>
            <w:r>
              <w:rPr>
                <w:rFonts w:hint="eastAsia" w:ascii="仿宋" w:hAnsi="仿宋" w:eastAsia="仿宋" w:cs="宋体"/>
                <w:kern w:val="0"/>
                <w:sz w:val="24"/>
              </w:rPr>
              <w:t>1</w:t>
            </w:r>
          </w:p>
        </w:tc>
        <w:tc>
          <w:tcPr>
            <w:tcW w:w="708" w:type="pct"/>
            <w:tcBorders>
              <w:top w:val="single" w:color="auto" w:sz="4" w:space="0"/>
              <w:left w:val="nil"/>
              <w:right w:val="single" w:color="auto" w:sz="4" w:space="0"/>
            </w:tcBorders>
            <w:shd w:val="clear" w:color="auto" w:fill="auto"/>
            <w:noWrap/>
            <w:vAlign w:val="center"/>
          </w:tcPr>
          <w:p w14:paraId="25204F5C">
            <w:pPr>
              <w:widowControl/>
              <w:adjustRightInd w:val="0"/>
              <w:snapToGrid w:val="0"/>
              <w:spacing w:line="276" w:lineRule="auto"/>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仪表维保</w:t>
            </w:r>
          </w:p>
        </w:tc>
        <w:tc>
          <w:tcPr>
            <w:tcW w:w="691" w:type="pct"/>
            <w:tcBorders>
              <w:top w:val="single" w:color="auto" w:sz="4" w:space="0"/>
              <w:left w:val="nil"/>
              <w:bottom w:val="single" w:color="auto" w:sz="4" w:space="0"/>
              <w:right w:val="single" w:color="auto" w:sz="4" w:space="0"/>
            </w:tcBorders>
            <w:shd w:val="clear" w:color="auto" w:fill="auto"/>
            <w:noWrap/>
            <w:vAlign w:val="center"/>
          </w:tcPr>
          <w:p w14:paraId="40C69EC9">
            <w:pPr>
              <w:widowControl/>
              <w:adjustRightInd w:val="0"/>
              <w:snapToGrid w:val="0"/>
              <w:spacing w:line="276" w:lineRule="auto"/>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涡轮流量计</w:t>
            </w:r>
          </w:p>
        </w:tc>
        <w:tc>
          <w:tcPr>
            <w:tcW w:w="509" w:type="pct"/>
            <w:tcBorders>
              <w:top w:val="single" w:color="auto" w:sz="4" w:space="0"/>
              <w:left w:val="nil"/>
              <w:bottom w:val="single" w:color="auto" w:sz="4" w:space="0"/>
              <w:right w:val="single" w:color="auto" w:sz="4" w:space="0"/>
            </w:tcBorders>
            <w:shd w:val="clear" w:color="auto" w:fill="auto"/>
            <w:noWrap/>
            <w:vAlign w:val="center"/>
          </w:tcPr>
          <w:p w14:paraId="7B569077">
            <w:pPr>
              <w:widowControl/>
              <w:adjustRightInd w:val="0"/>
              <w:snapToGrid w:val="0"/>
              <w:spacing w:line="276" w:lineRule="auto"/>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台</w:t>
            </w:r>
          </w:p>
        </w:tc>
        <w:tc>
          <w:tcPr>
            <w:tcW w:w="704" w:type="pct"/>
            <w:tcBorders>
              <w:top w:val="single" w:color="auto" w:sz="4" w:space="0"/>
              <w:left w:val="nil"/>
              <w:bottom w:val="single" w:color="auto" w:sz="4" w:space="0"/>
              <w:right w:val="single" w:color="auto" w:sz="4" w:space="0"/>
            </w:tcBorders>
            <w:shd w:val="clear" w:color="auto" w:fill="auto"/>
            <w:vAlign w:val="center"/>
          </w:tcPr>
          <w:p w14:paraId="17F8AB4B">
            <w:pPr>
              <w:widowControl/>
              <w:adjustRightInd w:val="0"/>
              <w:snapToGrid w:val="0"/>
              <w:spacing w:line="276" w:lineRule="auto"/>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10</w:t>
            </w:r>
          </w:p>
        </w:tc>
        <w:tc>
          <w:tcPr>
            <w:tcW w:w="712" w:type="pct"/>
            <w:tcBorders>
              <w:top w:val="single" w:color="auto" w:sz="4" w:space="0"/>
              <w:left w:val="nil"/>
              <w:bottom w:val="single" w:color="auto" w:sz="4" w:space="0"/>
              <w:right w:val="single" w:color="auto" w:sz="4" w:space="0"/>
            </w:tcBorders>
            <w:shd w:val="clear" w:color="auto" w:fill="auto"/>
            <w:noWrap/>
            <w:vAlign w:val="center"/>
          </w:tcPr>
          <w:p w14:paraId="7DF6DE8C">
            <w:pPr>
              <w:widowControl/>
              <w:adjustRightInd w:val="0"/>
              <w:snapToGrid w:val="0"/>
              <w:spacing w:line="276" w:lineRule="auto"/>
              <w:jc w:val="center"/>
              <w:rPr>
                <w:rFonts w:ascii="仿宋" w:hAnsi="仿宋" w:eastAsia="仿宋" w:cs="宋体"/>
                <w:kern w:val="0"/>
                <w:sz w:val="24"/>
              </w:rPr>
            </w:pPr>
          </w:p>
        </w:tc>
        <w:tc>
          <w:tcPr>
            <w:tcW w:w="6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35AFD5">
            <w:pPr>
              <w:widowControl/>
              <w:adjustRightInd w:val="0"/>
              <w:snapToGrid w:val="0"/>
              <w:spacing w:line="276" w:lineRule="auto"/>
              <w:jc w:val="center"/>
              <w:rPr>
                <w:rFonts w:ascii="仿宋" w:hAnsi="仿宋" w:eastAsia="仿宋" w:cs="宋体"/>
                <w:kern w:val="0"/>
                <w:sz w:val="24"/>
              </w:rPr>
            </w:pPr>
          </w:p>
        </w:tc>
        <w:tc>
          <w:tcPr>
            <w:tcW w:w="5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65665B">
            <w:pPr>
              <w:widowControl/>
              <w:adjustRightInd w:val="0"/>
              <w:snapToGrid w:val="0"/>
              <w:spacing w:line="276" w:lineRule="auto"/>
              <w:jc w:val="center"/>
              <w:rPr>
                <w:rFonts w:ascii="仿宋" w:hAnsi="仿宋" w:eastAsia="仿宋" w:cs="宋体"/>
                <w:kern w:val="0"/>
                <w:sz w:val="24"/>
              </w:rPr>
            </w:pPr>
          </w:p>
        </w:tc>
      </w:tr>
      <w:tr w14:paraId="6FB610DB">
        <w:tblPrEx>
          <w:tblCellMar>
            <w:top w:w="0" w:type="dxa"/>
            <w:left w:w="108" w:type="dxa"/>
            <w:bottom w:w="0" w:type="dxa"/>
            <w:right w:w="108" w:type="dxa"/>
          </w:tblCellMar>
        </w:tblPrEx>
        <w:trPr>
          <w:trHeight w:val="510" w:hRule="atLeast"/>
          <w:jc w:val="center"/>
        </w:trPr>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3ACF8C">
            <w:pPr>
              <w:widowControl/>
              <w:adjustRightInd w:val="0"/>
              <w:snapToGrid w:val="0"/>
              <w:spacing w:line="276" w:lineRule="auto"/>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2</w:t>
            </w:r>
          </w:p>
        </w:tc>
        <w:tc>
          <w:tcPr>
            <w:tcW w:w="708" w:type="pct"/>
            <w:tcBorders>
              <w:top w:val="single" w:color="auto" w:sz="4" w:space="0"/>
              <w:left w:val="nil"/>
              <w:right w:val="single" w:color="auto" w:sz="4" w:space="0"/>
            </w:tcBorders>
            <w:shd w:val="clear" w:color="auto" w:fill="auto"/>
            <w:noWrap/>
            <w:vAlign w:val="center"/>
          </w:tcPr>
          <w:p w14:paraId="01C7F33F">
            <w:pPr>
              <w:widowControl/>
              <w:adjustRightInd w:val="0"/>
              <w:snapToGrid w:val="0"/>
              <w:spacing w:line="276" w:lineRule="auto"/>
              <w:jc w:val="center"/>
              <w:rPr>
                <w:rFonts w:ascii="仿宋" w:hAnsi="仿宋" w:eastAsia="仿宋" w:cs="宋体"/>
                <w:kern w:val="0"/>
                <w:sz w:val="24"/>
              </w:rPr>
            </w:pPr>
            <w:r>
              <w:rPr>
                <w:rFonts w:hint="eastAsia" w:ascii="仿宋" w:hAnsi="仿宋" w:eastAsia="仿宋" w:cs="宋体"/>
                <w:kern w:val="0"/>
                <w:sz w:val="24"/>
                <w:lang w:val="en-US" w:eastAsia="zh-CN"/>
              </w:rPr>
              <w:t>仪表维保</w:t>
            </w:r>
          </w:p>
        </w:tc>
        <w:tc>
          <w:tcPr>
            <w:tcW w:w="691" w:type="pct"/>
            <w:tcBorders>
              <w:top w:val="single" w:color="auto" w:sz="4" w:space="0"/>
              <w:left w:val="nil"/>
              <w:bottom w:val="single" w:color="auto" w:sz="4" w:space="0"/>
              <w:right w:val="single" w:color="auto" w:sz="4" w:space="0"/>
            </w:tcBorders>
            <w:shd w:val="clear" w:color="auto" w:fill="auto"/>
            <w:noWrap/>
            <w:vAlign w:val="center"/>
          </w:tcPr>
          <w:p w14:paraId="7EF55D3D">
            <w:pPr>
              <w:widowControl/>
              <w:adjustRightInd w:val="0"/>
              <w:snapToGrid w:val="0"/>
              <w:spacing w:line="276" w:lineRule="auto"/>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罗茨流量计</w:t>
            </w:r>
          </w:p>
        </w:tc>
        <w:tc>
          <w:tcPr>
            <w:tcW w:w="509" w:type="pct"/>
            <w:tcBorders>
              <w:top w:val="single" w:color="auto" w:sz="4" w:space="0"/>
              <w:left w:val="nil"/>
              <w:bottom w:val="single" w:color="auto" w:sz="4" w:space="0"/>
              <w:right w:val="single" w:color="auto" w:sz="4" w:space="0"/>
            </w:tcBorders>
            <w:shd w:val="clear" w:color="auto" w:fill="auto"/>
            <w:noWrap/>
            <w:vAlign w:val="center"/>
          </w:tcPr>
          <w:p w14:paraId="343272D2">
            <w:pPr>
              <w:widowControl/>
              <w:adjustRightInd w:val="0"/>
              <w:snapToGrid w:val="0"/>
              <w:spacing w:line="276" w:lineRule="auto"/>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台</w:t>
            </w:r>
          </w:p>
        </w:tc>
        <w:tc>
          <w:tcPr>
            <w:tcW w:w="704" w:type="pct"/>
            <w:tcBorders>
              <w:top w:val="single" w:color="auto" w:sz="4" w:space="0"/>
              <w:left w:val="nil"/>
              <w:bottom w:val="single" w:color="auto" w:sz="4" w:space="0"/>
              <w:right w:val="single" w:color="auto" w:sz="4" w:space="0"/>
            </w:tcBorders>
            <w:shd w:val="clear" w:color="auto" w:fill="auto"/>
            <w:vAlign w:val="center"/>
          </w:tcPr>
          <w:p w14:paraId="0C383EF6">
            <w:pPr>
              <w:widowControl/>
              <w:adjustRightInd w:val="0"/>
              <w:snapToGrid w:val="0"/>
              <w:spacing w:line="276" w:lineRule="auto"/>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25</w:t>
            </w:r>
          </w:p>
        </w:tc>
        <w:tc>
          <w:tcPr>
            <w:tcW w:w="712" w:type="pct"/>
            <w:tcBorders>
              <w:top w:val="single" w:color="auto" w:sz="4" w:space="0"/>
              <w:left w:val="nil"/>
              <w:bottom w:val="single" w:color="auto" w:sz="4" w:space="0"/>
              <w:right w:val="single" w:color="auto" w:sz="4" w:space="0"/>
            </w:tcBorders>
            <w:shd w:val="clear" w:color="auto" w:fill="auto"/>
            <w:noWrap/>
            <w:vAlign w:val="center"/>
          </w:tcPr>
          <w:p w14:paraId="51ED9D89">
            <w:pPr>
              <w:widowControl/>
              <w:adjustRightInd w:val="0"/>
              <w:snapToGrid w:val="0"/>
              <w:spacing w:line="276" w:lineRule="auto"/>
              <w:jc w:val="center"/>
              <w:rPr>
                <w:rFonts w:ascii="仿宋" w:hAnsi="仿宋" w:eastAsia="仿宋" w:cs="宋体"/>
                <w:kern w:val="0"/>
                <w:sz w:val="24"/>
              </w:rPr>
            </w:pPr>
          </w:p>
        </w:tc>
        <w:tc>
          <w:tcPr>
            <w:tcW w:w="6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FA6C04">
            <w:pPr>
              <w:widowControl/>
              <w:adjustRightInd w:val="0"/>
              <w:snapToGrid w:val="0"/>
              <w:spacing w:line="276" w:lineRule="auto"/>
              <w:jc w:val="center"/>
              <w:rPr>
                <w:rFonts w:hint="default" w:ascii="仿宋" w:hAnsi="仿宋" w:eastAsia="仿宋" w:cs="宋体"/>
                <w:kern w:val="0"/>
                <w:sz w:val="24"/>
                <w:lang w:val="en-US" w:eastAsia="zh-CN"/>
              </w:rPr>
            </w:pPr>
          </w:p>
        </w:tc>
        <w:tc>
          <w:tcPr>
            <w:tcW w:w="5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7350A1">
            <w:pPr>
              <w:widowControl/>
              <w:adjustRightInd w:val="0"/>
              <w:snapToGrid w:val="0"/>
              <w:spacing w:line="276" w:lineRule="auto"/>
              <w:jc w:val="center"/>
              <w:rPr>
                <w:rFonts w:ascii="仿宋" w:hAnsi="仿宋" w:eastAsia="仿宋" w:cs="宋体"/>
                <w:kern w:val="0"/>
                <w:sz w:val="24"/>
              </w:rPr>
            </w:pPr>
          </w:p>
        </w:tc>
      </w:tr>
      <w:tr w14:paraId="5507E384">
        <w:tblPrEx>
          <w:tblCellMar>
            <w:top w:w="0" w:type="dxa"/>
            <w:left w:w="108" w:type="dxa"/>
            <w:bottom w:w="0" w:type="dxa"/>
            <w:right w:w="108" w:type="dxa"/>
          </w:tblCellMar>
        </w:tblPrEx>
        <w:trPr>
          <w:trHeight w:val="510" w:hRule="atLeast"/>
          <w:jc w:val="center"/>
        </w:trPr>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82760A">
            <w:pPr>
              <w:widowControl/>
              <w:adjustRightInd w:val="0"/>
              <w:snapToGrid w:val="0"/>
              <w:spacing w:line="276" w:lineRule="auto"/>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3</w:t>
            </w:r>
          </w:p>
        </w:tc>
        <w:tc>
          <w:tcPr>
            <w:tcW w:w="708" w:type="pct"/>
            <w:tcBorders>
              <w:top w:val="single" w:color="auto" w:sz="4" w:space="0"/>
              <w:left w:val="nil"/>
              <w:right w:val="single" w:color="auto" w:sz="4" w:space="0"/>
            </w:tcBorders>
            <w:shd w:val="clear" w:color="auto" w:fill="auto"/>
            <w:noWrap/>
            <w:vAlign w:val="center"/>
          </w:tcPr>
          <w:p w14:paraId="3FF926BE">
            <w:pPr>
              <w:widowControl/>
              <w:adjustRightInd w:val="0"/>
              <w:snapToGrid w:val="0"/>
              <w:spacing w:line="276" w:lineRule="auto"/>
              <w:jc w:val="center"/>
              <w:rPr>
                <w:rFonts w:ascii="仿宋" w:hAnsi="仿宋" w:eastAsia="仿宋" w:cs="宋体"/>
                <w:kern w:val="0"/>
                <w:sz w:val="24"/>
              </w:rPr>
            </w:pPr>
            <w:r>
              <w:rPr>
                <w:rFonts w:hint="eastAsia" w:ascii="仿宋" w:hAnsi="仿宋" w:eastAsia="仿宋" w:cs="宋体"/>
                <w:kern w:val="0"/>
                <w:sz w:val="24"/>
                <w:lang w:val="en-US" w:eastAsia="zh-CN"/>
              </w:rPr>
              <w:t>仪表维保</w:t>
            </w:r>
          </w:p>
        </w:tc>
        <w:tc>
          <w:tcPr>
            <w:tcW w:w="691" w:type="pct"/>
            <w:tcBorders>
              <w:top w:val="single" w:color="auto" w:sz="4" w:space="0"/>
              <w:left w:val="nil"/>
              <w:bottom w:val="single" w:color="auto" w:sz="4" w:space="0"/>
              <w:right w:val="single" w:color="auto" w:sz="4" w:space="0"/>
            </w:tcBorders>
            <w:shd w:val="clear" w:color="auto" w:fill="auto"/>
            <w:noWrap/>
            <w:vAlign w:val="center"/>
          </w:tcPr>
          <w:p w14:paraId="12437167">
            <w:pPr>
              <w:widowControl/>
              <w:adjustRightInd w:val="0"/>
              <w:snapToGrid w:val="0"/>
              <w:spacing w:line="276" w:lineRule="auto"/>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超声波流量计</w:t>
            </w:r>
          </w:p>
        </w:tc>
        <w:tc>
          <w:tcPr>
            <w:tcW w:w="509" w:type="pct"/>
            <w:tcBorders>
              <w:top w:val="single" w:color="auto" w:sz="4" w:space="0"/>
              <w:left w:val="nil"/>
              <w:bottom w:val="single" w:color="auto" w:sz="4" w:space="0"/>
              <w:right w:val="single" w:color="auto" w:sz="4" w:space="0"/>
            </w:tcBorders>
            <w:shd w:val="clear" w:color="auto" w:fill="auto"/>
            <w:noWrap/>
            <w:vAlign w:val="center"/>
          </w:tcPr>
          <w:p w14:paraId="472A291F">
            <w:pPr>
              <w:widowControl/>
              <w:adjustRightInd w:val="0"/>
              <w:snapToGrid w:val="0"/>
              <w:spacing w:line="276" w:lineRule="auto"/>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台</w:t>
            </w:r>
          </w:p>
        </w:tc>
        <w:tc>
          <w:tcPr>
            <w:tcW w:w="704" w:type="pct"/>
            <w:tcBorders>
              <w:top w:val="single" w:color="auto" w:sz="4" w:space="0"/>
              <w:left w:val="nil"/>
              <w:bottom w:val="single" w:color="auto" w:sz="4" w:space="0"/>
              <w:right w:val="single" w:color="auto" w:sz="4" w:space="0"/>
            </w:tcBorders>
            <w:shd w:val="clear" w:color="auto" w:fill="auto"/>
            <w:vAlign w:val="center"/>
          </w:tcPr>
          <w:p w14:paraId="33B6B829">
            <w:pPr>
              <w:widowControl/>
              <w:adjustRightInd w:val="0"/>
              <w:snapToGrid w:val="0"/>
              <w:spacing w:line="276" w:lineRule="auto"/>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45</w:t>
            </w:r>
          </w:p>
        </w:tc>
        <w:tc>
          <w:tcPr>
            <w:tcW w:w="712" w:type="pct"/>
            <w:tcBorders>
              <w:top w:val="single" w:color="auto" w:sz="4" w:space="0"/>
              <w:left w:val="nil"/>
              <w:bottom w:val="single" w:color="auto" w:sz="4" w:space="0"/>
              <w:right w:val="single" w:color="auto" w:sz="4" w:space="0"/>
            </w:tcBorders>
            <w:shd w:val="clear" w:color="auto" w:fill="auto"/>
            <w:noWrap/>
            <w:vAlign w:val="center"/>
          </w:tcPr>
          <w:p w14:paraId="35CEF37B">
            <w:pPr>
              <w:widowControl/>
              <w:adjustRightInd w:val="0"/>
              <w:snapToGrid w:val="0"/>
              <w:spacing w:line="276" w:lineRule="auto"/>
              <w:jc w:val="center"/>
              <w:rPr>
                <w:rFonts w:ascii="仿宋" w:hAnsi="仿宋" w:eastAsia="仿宋" w:cs="宋体"/>
                <w:kern w:val="0"/>
                <w:sz w:val="24"/>
              </w:rPr>
            </w:pPr>
          </w:p>
        </w:tc>
        <w:tc>
          <w:tcPr>
            <w:tcW w:w="6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70B4E7">
            <w:pPr>
              <w:widowControl/>
              <w:adjustRightInd w:val="0"/>
              <w:snapToGrid w:val="0"/>
              <w:spacing w:line="276" w:lineRule="auto"/>
              <w:jc w:val="center"/>
              <w:rPr>
                <w:rFonts w:ascii="仿宋" w:hAnsi="仿宋" w:eastAsia="仿宋" w:cs="宋体"/>
                <w:kern w:val="0"/>
                <w:sz w:val="24"/>
              </w:rPr>
            </w:pPr>
          </w:p>
        </w:tc>
        <w:tc>
          <w:tcPr>
            <w:tcW w:w="5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0ACCF3">
            <w:pPr>
              <w:widowControl/>
              <w:adjustRightInd w:val="0"/>
              <w:snapToGrid w:val="0"/>
              <w:spacing w:line="276" w:lineRule="auto"/>
              <w:jc w:val="center"/>
              <w:rPr>
                <w:rFonts w:ascii="仿宋" w:hAnsi="仿宋" w:eastAsia="仿宋" w:cs="宋体"/>
                <w:kern w:val="0"/>
                <w:sz w:val="24"/>
              </w:rPr>
            </w:pPr>
          </w:p>
        </w:tc>
      </w:tr>
      <w:tr w14:paraId="7F098450">
        <w:tblPrEx>
          <w:tblCellMar>
            <w:top w:w="0" w:type="dxa"/>
            <w:left w:w="108" w:type="dxa"/>
            <w:bottom w:w="0" w:type="dxa"/>
            <w:right w:w="108" w:type="dxa"/>
          </w:tblCellMar>
        </w:tblPrEx>
        <w:trPr>
          <w:trHeight w:val="510" w:hRule="atLeast"/>
          <w:jc w:val="center"/>
        </w:trPr>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E44480">
            <w:pPr>
              <w:widowControl/>
              <w:adjustRightInd w:val="0"/>
              <w:snapToGrid w:val="0"/>
              <w:spacing w:line="276" w:lineRule="auto"/>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4</w:t>
            </w:r>
          </w:p>
        </w:tc>
        <w:tc>
          <w:tcPr>
            <w:tcW w:w="708" w:type="pct"/>
            <w:tcBorders>
              <w:top w:val="single" w:color="auto" w:sz="4" w:space="0"/>
              <w:left w:val="nil"/>
              <w:right w:val="single" w:color="auto" w:sz="4" w:space="0"/>
            </w:tcBorders>
            <w:shd w:val="clear" w:color="auto" w:fill="auto"/>
            <w:noWrap/>
            <w:vAlign w:val="center"/>
          </w:tcPr>
          <w:p w14:paraId="510B79BE">
            <w:pPr>
              <w:widowControl/>
              <w:adjustRightInd w:val="0"/>
              <w:snapToGrid w:val="0"/>
              <w:spacing w:line="276" w:lineRule="auto"/>
              <w:jc w:val="center"/>
              <w:rPr>
                <w:rFonts w:ascii="仿宋" w:hAnsi="仿宋" w:eastAsia="仿宋" w:cs="宋体"/>
                <w:kern w:val="0"/>
                <w:sz w:val="24"/>
              </w:rPr>
            </w:pPr>
            <w:r>
              <w:rPr>
                <w:rFonts w:hint="eastAsia" w:ascii="仿宋" w:hAnsi="仿宋" w:eastAsia="仿宋" w:cs="宋体"/>
                <w:kern w:val="0"/>
                <w:sz w:val="24"/>
                <w:lang w:val="en-US" w:eastAsia="zh-CN"/>
              </w:rPr>
              <w:t>配件</w:t>
            </w:r>
          </w:p>
        </w:tc>
        <w:tc>
          <w:tcPr>
            <w:tcW w:w="691" w:type="pct"/>
            <w:tcBorders>
              <w:top w:val="single" w:color="auto" w:sz="4" w:space="0"/>
              <w:left w:val="nil"/>
              <w:bottom w:val="single" w:color="auto" w:sz="4" w:space="0"/>
              <w:right w:val="single" w:color="auto" w:sz="4" w:space="0"/>
            </w:tcBorders>
            <w:shd w:val="clear" w:color="auto" w:fill="auto"/>
            <w:noWrap/>
            <w:vAlign w:val="center"/>
          </w:tcPr>
          <w:p w14:paraId="532EB528">
            <w:pPr>
              <w:widowControl/>
              <w:adjustRightInd w:val="0"/>
              <w:snapToGrid w:val="0"/>
              <w:spacing w:line="276" w:lineRule="auto"/>
              <w:jc w:val="center"/>
              <w:rPr>
                <w:rFonts w:ascii="仿宋" w:hAnsi="仿宋" w:eastAsia="仿宋" w:cs="宋体"/>
                <w:kern w:val="0"/>
                <w:sz w:val="24"/>
              </w:rPr>
            </w:pPr>
            <w:r>
              <w:rPr>
                <w:rFonts w:hint="eastAsia" w:ascii="仿宋" w:hAnsi="仿宋" w:eastAsia="仿宋"/>
                <w:sz w:val="24"/>
                <w:szCs w:val="28"/>
              </w:rPr>
              <w:t>测量芯轴承</w:t>
            </w:r>
          </w:p>
        </w:tc>
        <w:tc>
          <w:tcPr>
            <w:tcW w:w="509" w:type="pct"/>
            <w:tcBorders>
              <w:top w:val="single" w:color="auto" w:sz="4" w:space="0"/>
              <w:left w:val="nil"/>
              <w:bottom w:val="single" w:color="auto" w:sz="4" w:space="0"/>
              <w:right w:val="single" w:color="auto" w:sz="4" w:space="0"/>
            </w:tcBorders>
            <w:shd w:val="clear" w:color="auto" w:fill="auto"/>
            <w:noWrap/>
            <w:vAlign w:val="center"/>
          </w:tcPr>
          <w:p w14:paraId="25D0A39C">
            <w:pPr>
              <w:widowControl/>
              <w:adjustRightInd w:val="0"/>
              <w:snapToGrid w:val="0"/>
              <w:spacing w:line="276" w:lineRule="auto"/>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套</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14:paraId="58E22AA1">
            <w:pPr>
              <w:widowControl/>
              <w:adjustRightInd w:val="0"/>
              <w:snapToGrid w:val="0"/>
              <w:spacing w:line="276" w:lineRule="auto"/>
              <w:jc w:val="center"/>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10</w:t>
            </w:r>
          </w:p>
        </w:tc>
        <w:tc>
          <w:tcPr>
            <w:tcW w:w="712" w:type="pct"/>
            <w:tcBorders>
              <w:top w:val="single" w:color="auto" w:sz="4" w:space="0"/>
              <w:left w:val="nil"/>
              <w:bottom w:val="single" w:color="auto" w:sz="4" w:space="0"/>
              <w:right w:val="single" w:color="auto" w:sz="4" w:space="0"/>
            </w:tcBorders>
            <w:shd w:val="clear" w:color="auto" w:fill="auto"/>
            <w:noWrap/>
            <w:vAlign w:val="center"/>
          </w:tcPr>
          <w:p w14:paraId="012EB02B">
            <w:pPr>
              <w:widowControl/>
              <w:adjustRightInd w:val="0"/>
              <w:snapToGrid w:val="0"/>
              <w:spacing w:line="276" w:lineRule="auto"/>
              <w:jc w:val="center"/>
              <w:rPr>
                <w:rFonts w:ascii="仿宋" w:hAnsi="仿宋" w:eastAsia="仿宋" w:cs="宋体"/>
                <w:kern w:val="0"/>
                <w:sz w:val="24"/>
              </w:rPr>
            </w:pPr>
          </w:p>
        </w:tc>
        <w:tc>
          <w:tcPr>
            <w:tcW w:w="6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397D98">
            <w:pPr>
              <w:widowControl/>
              <w:adjustRightInd w:val="0"/>
              <w:snapToGrid w:val="0"/>
              <w:spacing w:line="276" w:lineRule="auto"/>
              <w:jc w:val="center"/>
              <w:rPr>
                <w:rFonts w:hint="default" w:ascii="仿宋" w:hAnsi="仿宋" w:eastAsia="仿宋" w:cs="宋体"/>
                <w:kern w:val="0"/>
                <w:sz w:val="24"/>
                <w:lang w:val="en-US" w:eastAsia="zh-CN"/>
              </w:rPr>
            </w:pPr>
          </w:p>
        </w:tc>
        <w:tc>
          <w:tcPr>
            <w:tcW w:w="5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61BDA5">
            <w:pPr>
              <w:widowControl/>
              <w:adjustRightInd w:val="0"/>
              <w:snapToGrid w:val="0"/>
              <w:spacing w:line="276" w:lineRule="auto"/>
              <w:jc w:val="center"/>
              <w:rPr>
                <w:rFonts w:ascii="仿宋" w:hAnsi="仿宋" w:eastAsia="仿宋" w:cs="宋体"/>
                <w:kern w:val="0"/>
                <w:sz w:val="24"/>
              </w:rPr>
            </w:pPr>
          </w:p>
        </w:tc>
      </w:tr>
      <w:tr w14:paraId="56FE4938">
        <w:tblPrEx>
          <w:tblCellMar>
            <w:top w:w="0" w:type="dxa"/>
            <w:left w:w="108" w:type="dxa"/>
            <w:bottom w:w="0" w:type="dxa"/>
            <w:right w:w="108" w:type="dxa"/>
          </w:tblCellMar>
        </w:tblPrEx>
        <w:trPr>
          <w:trHeight w:val="510" w:hRule="atLeast"/>
          <w:jc w:val="center"/>
        </w:trPr>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328624">
            <w:pPr>
              <w:widowControl/>
              <w:adjustRightInd w:val="0"/>
              <w:snapToGrid w:val="0"/>
              <w:spacing w:line="276" w:lineRule="auto"/>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5</w:t>
            </w:r>
          </w:p>
        </w:tc>
        <w:tc>
          <w:tcPr>
            <w:tcW w:w="708" w:type="pct"/>
            <w:tcBorders>
              <w:top w:val="single" w:color="auto" w:sz="4" w:space="0"/>
              <w:left w:val="nil"/>
              <w:right w:val="single" w:color="auto" w:sz="4" w:space="0"/>
            </w:tcBorders>
            <w:shd w:val="clear" w:color="auto" w:fill="auto"/>
            <w:noWrap/>
            <w:vAlign w:val="center"/>
          </w:tcPr>
          <w:p w14:paraId="0C0479BD">
            <w:pPr>
              <w:widowControl/>
              <w:adjustRightInd w:val="0"/>
              <w:snapToGrid w:val="0"/>
              <w:spacing w:line="276" w:lineRule="auto"/>
              <w:jc w:val="center"/>
              <w:rPr>
                <w:rFonts w:ascii="仿宋" w:hAnsi="仿宋" w:eastAsia="仿宋" w:cs="宋体"/>
                <w:kern w:val="0"/>
                <w:sz w:val="24"/>
              </w:rPr>
            </w:pPr>
            <w:r>
              <w:rPr>
                <w:rFonts w:hint="eastAsia" w:ascii="仿宋" w:hAnsi="仿宋" w:eastAsia="仿宋" w:cs="宋体"/>
                <w:kern w:val="0"/>
                <w:sz w:val="24"/>
                <w:lang w:val="en-US" w:eastAsia="zh-CN"/>
              </w:rPr>
              <w:t>配件</w:t>
            </w:r>
          </w:p>
        </w:tc>
        <w:tc>
          <w:tcPr>
            <w:tcW w:w="691" w:type="pct"/>
            <w:tcBorders>
              <w:top w:val="single" w:color="auto" w:sz="4" w:space="0"/>
              <w:left w:val="nil"/>
              <w:bottom w:val="single" w:color="auto" w:sz="4" w:space="0"/>
              <w:right w:val="single" w:color="auto" w:sz="4" w:space="0"/>
            </w:tcBorders>
            <w:shd w:val="clear" w:color="auto" w:fill="auto"/>
            <w:noWrap/>
            <w:vAlign w:val="center"/>
          </w:tcPr>
          <w:p w14:paraId="1023A21F">
            <w:pPr>
              <w:widowControl/>
              <w:adjustRightInd w:val="0"/>
              <w:snapToGrid w:val="0"/>
              <w:spacing w:line="276" w:lineRule="auto"/>
              <w:jc w:val="center"/>
              <w:rPr>
                <w:rFonts w:ascii="仿宋" w:hAnsi="仿宋" w:eastAsia="仿宋" w:cs="宋体"/>
                <w:kern w:val="0"/>
                <w:sz w:val="24"/>
              </w:rPr>
            </w:pPr>
            <w:r>
              <w:rPr>
                <w:rFonts w:hint="eastAsia" w:ascii="仿宋" w:hAnsi="仿宋" w:eastAsia="仿宋"/>
                <w:sz w:val="24"/>
                <w:szCs w:val="28"/>
              </w:rPr>
              <w:t>磁耦轴承</w:t>
            </w:r>
          </w:p>
        </w:tc>
        <w:tc>
          <w:tcPr>
            <w:tcW w:w="509" w:type="pct"/>
            <w:tcBorders>
              <w:top w:val="single" w:color="auto" w:sz="4" w:space="0"/>
              <w:left w:val="nil"/>
              <w:bottom w:val="single" w:color="auto" w:sz="4" w:space="0"/>
              <w:right w:val="single" w:color="auto" w:sz="4" w:space="0"/>
            </w:tcBorders>
            <w:shd w:val="clear" w:color="auto" w:fill="auto"/>
            <w:noWrap/>
            <w:vAlign w:val="center"/>
          </w:tcPr>
          <w:p w14:paraId="4509E927">
            <w:pPr>
              <w:widowControl/>
              <w:adjustRightInd w:val="0"/>
              <w:snapToGrid w:val="0"/>
              <w:spacing w:line="276" w:lineRule="auto"/>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套</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14:paraId="29F5D94A">
            <w:pPr>
              <w:widowControl/>
              <w:adjustRightInd w:val="0"/>
              <w:snapToGrid w:val="0"/>
              <w:spacing w:line="276" w:lineRule="auto"/>
              <w:jc w:val="center"/>
              <w:rPr>
                <w:rFonts w:hint="default"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10</w:t>
            </w:r>
          </w:p>
        </w:tc>
        <w:tc>
          <w:tcPr>
            <w:tcW w:w="712" w:type="pct"/>
            <w:tcBorders>
              <w:top w:val="single" w:color="auto" w:sz="4" w:space="0"/>
              <w:left w:val="nil"/>
              <w:bottom w:val="single" w:color="auto" w:sz="4" w:space="0"/>
              <w:right w:val="single" w:color="auto" w:sz="4" w:space="0"/>
            </w:tcBorders>
            <w:shd w:val="clear" w:color="auto" w:fill="auto"/>
            <w:noWrap/>
            <w:vAlign w:val="center"/>
          </w:tcPr>
          <w:p w14:paraId="7E33AC87">
            <w:pPr>
              <w:widowControl/>
              <w:adjustRightInd w:val="0"/>
              <w:snapToGrid w:val="0"/>
              <w:spacing w:line="276" w:lineRule="auto"/>
              <w:jc w:val="center"/>
              <w:rPr>
                <w:rFonts w:ascii="仿宋" w:hAnsi="仿宋" w:eastAsia="仿宋" w:cs="宋体"/>
                <w:kern w:val="0"/>
                <w:sz w:val="24"/>
              </w:rPr>
            </w:pPr>
          </w:p>
        </w:tc>
        <w:tc>
          <w:tcPr>
            <w:tcW w:w="6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DAA35B">
            <w:pPr>
              <w:widowControl/>
              <w:adjustRightInd w:val="0"/>
              <w:snapToGrid w:val="0"/>
              <w:spacing w:line="276" w:lineRule="auto"/>
              <w:jc w:val="center"/>
              <w:rPr>
                <w:rFonts w:hint="default" w:ascii="仿宋" w:hAnsi="仿宋" w:eastAsia="仿宋" w:cs="宋体"/>
                <w:kern w:val="0"/>
                <w:sz w:val="24"/>
                <w:lang w:val="en-US" w:eastAsia="zh-CN"/>
              </w:rPr>
            </w:pPr>
          </w:p>
        </w:tc>
        <w:tc>
          <w:tcPr>
            <w:tcW w:w="5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2D5E07">
            <w:pPr>
              <w:widowControl/>
              <w:adjustRightInd w:val="0"/>
              <w:snapToGrid w:val="0"/>
              <w:spacing w:line="276" w:lineRule="auto"/>
              <w:jc w:val="center"/>
              <w:rPr>
                <w:rFonts w:ascii="仿宋" w:hAnsi="仿宋" w:eastAsia="仿宋" w:cs="宋体"/>
                <w:kern w:val="0"/>
                <w:sz w:val="24"/>
              </w:rPr>
            </w:pPr>
          </w:p>
        </w:tc>
      </w:tr>
      <w:tr w14:paraId="28E8AF0B">
        <w:tblPrEx>
          <w:tblCellMar>
            <w:top w:w="0" w:type="dxa"/>
            <w:left w:w="108" w:type="dxa"/>
            <w:bottom w:w="0" w:type="dxa"/>
            <w:right w:w="108" w:type="dxa"/>
          </w:tblCellMar>
        </w:tblPrEx>
        <w:trPr>
          <w:trHeight w:val="510" w:hRule="atLeast"/>
          <w:jc w:val="center"/>
        </w:trPr>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681020">
            <w:pPr>
              <w:widowControl/>
              <w:adjustRightInd w:val="0"/>
              <w:snapToGrid w:val="0"/>
              <w:spacing w:line="276" w:lineRule="auto"/>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6</w:t>
            </w:r>
          </w:p>
        </w:tc>
        <w:tc>
          <w:tcPr>
            <w:tcW w:w="708" w:type="pct"/>
            <w:tcBorders>
              <w:top w:val="single" w:color="auto" w:sz="4" w:space="0"/>
              <w:left w:val="nil"/>
              <w:right w:val="single" w:color="auto" w:sz="4" w:space="0"/>
            </w:tcBorders>
            <w:shd w:val="clear" w:color="auto" w:fill="auto"/>
            <w:noWrap/>
            <w:vAlign w:val="center"/>
          </w:tcPr>
          <w:p w14:paraId="0E70FA28">
            <w:pPr>
              <w:widowControl/>
              <w:adjustRightInd w:val="0"/>
              <w:snapToGrid w:val="0"/>
              <w:spacing w:line="276" w:lineRule="auto"/>
              <w:jc w:val="center"/>
              <w:rPr>
                <w:rFonts w:ascii="仿宋" w:hAnsi="仿宋" w:eastAsia="仿宋" w:cs="宋体"/>
                <w:kern w:val="0"/>
                <w:sz w:val="24"/>
              </w:rPr>
            </w:pPr>
            <w:r>
              <w:rPr>
                <w:rFonts w:hint="eastAsia" w:ascii="仿宋" w:hAnsi="仿宋" w:eastAsia="仿宋" w:cs="宋体"/>
                <w:kern w:val="0"/>
                <w:sz w:val="24"/>
                <w:lang w:val="en-US" w:eastAsia="zh-CN"/>
              </w:rPr>
              <w:t>配件</w:t>
            </w:r>
          </w:p>
        </w:tc>
        <w:tc>
          <w:tcPr>
            <w:tcW w:w="691" w:type="pct"/>
            <w:tcBorders>
              <w:top w:val="single" w:color="auto" w:sz="4" w:space="0"/>
              <w:left w:val="nil"/>
              <w:bottom w:val="single" w:color="auto" w:sz="4" w:space="0"/>
              <w:right w:val="single" w:color="auto" w:sz="4" w:space="0"/>
            </w:tcBorders>
            <w:shd w:val="clear" w:color="auto" w:fill="auto"/>
            <w:noWrap/>
            <w:vAlign w:val="center"/>
          </w:tcPr>
          <w:p w14:paraId="6BE39622">
            <w:pPr>
              <w:widowControl/>
              <w:adjustRightInd w:val="0"/>
              <w:snapToGrid w:val="0"/>
              <w:spacing w:line="276" w:lineRule="auto"/>
              <w:jc w:val="center"/>
              <w:rPr>
                <w:rFonts w:hint="default" w:ascii="仿宋" w:hAnsi="仿宋" w:eastAsia="仿宋" w:cs="宋体"/>
                <w:kern w:val="0"/>
                <w:sz w:val="24"/>
                <w:lang w:val="en-US"/>
              </w:rPr>
            </w:pPr>
            <w:r>
              <w:rPr>
                <w:rFonts w:hint="eastAsia" w:ascii="仿宋" w:hAnsi="仿宋" w:eastAsia="仿宋"/>
                <w:sz w:val="24"/>
                <w:szCs w:val="28"/>
                <w:lang w:val="en-US" w:eastAsia="zh-CN"/>
              </w:rPr>
              <w:t>埃尔斯特电池组</w:t>
            </w:r>
          </w:p>
        </w:tc>
        <w:tc>
          <w:tcPr>
            <w:tcW w:w="509" w:type="pct"/>
            <w:tcBorders>
              <w:top w:val="single" w:color="auto" w:sz="4" w:space="0"/>
              <w:left w:val="nil"/>
              <w:bottom w:val="single" w:color="auto" w:sz="4" w:space="0"/>
              <w:right w:val="single" w:color="auto" w:sz="4" w:space="0"/>
            </w:tcBorders>
            <w:shd w:val="clear" w:color="auto" w:fill="auto"/>
            <w:noWrap/>
            <w:vAlign w:val="center"/>
          </w:tcPr>
          <w:p w14:paraId="193DF0C5">
            <w:pPr>
              <w:widowControl/>
              <w:adjustRightInd w:val="0"/>
              <w:snapToGrid w:val="0"/>
              <w:spacing w:line="276" w:lineRule="auto"/>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组</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14:paraId="5B16D860">
            <w:pPr>
              <w:widowControl/>
              <w:adjustRightInd w:val="0"/>
              <w:snapToGrid w:val="0"/>
              <w:spacing w:line="276" w:lineRule="auto"/>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2</w:t>
            </w:r>
          </w:p>
        </w:tc>
        <w:tc>
          <w:tcPr>
            <w:tcW w:w="712" w:type="pct"/>
            <w:tcBorders>
              <w:top w:val="single" w:color="auto" w:sz="4" w:space="0"/>
              <w:left w:val="nil"/>
              <w:bottom w:val="single" w:color="auto" w:sz="4" w:space="0"/>
              <w:right w:val="single" w:color="auto" w:sz="4" w:space="0"/>
            </w:tcBorders>
            <w:shd w:val="clear" w:color="auto" w:fill="auto"/>
            <w:noWrap/>
            <w:vAlign w:val="center"/>
          </w:tcPr>
          <w:p w14:paraId="2478B82C">
            <w:pPr>
              <w:widowControl/>
              <w:adjustRightInd w:val="0"/>
              <w:snapToGrid w:val="0"/>
              <w:spacing w:line="276" w:lineRule="auto"/>
              <w:jc w:val="center"/>
              <w:rPr>
                <w:rFonts w:ascii="仿宋" w:hAnsi="仿宋" w:eastAsia="仿宋" w:cs="宋体"/>
                <w:kern w:val="0"/>
                <w:sz w:val="24"/>
              </w:rPr>
            </w:pPr>
          </w:p>
        </w:tc>
        <w:tc>
          <w:tcPr>
            <w:tcW w:w="6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796E8A">
            <w:pPr>
              <w:widowControl/>
              <w:adjustRightInd w:val="0"/>
              <w:snapToGrid w:val="0"/>
              <w:spacing w:line="276" w:lineRule="auto"/>
              <w:jc w:val="center"/>
              <w:rPr>
                <w:rFonts w:hint="default" w:ascii="仿宋" w:hAnsi="仿宋" w:eastAsia="仿宋" w:cs="宋体"/>
                <w:kern w:val="0"/>
                <w:sz w:val="24"/>
                <w:lang w:val="en-US" w:eastAsia="zh-CN"/>
              </w:rPr>
            </w:pPr>
          </w:p>
        </w:tc>
        <w:tc>
          <w:tcPr>
            <w:tcW w:w="5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AAEFF2">
            <w:pPr>
              <w:widowControl/>
              <w:adjustRightInd w:val="0"/>
              <w:snapToGrid w:val="0"/>
              <w:spacing w:line="276" w:lineRule="auto"/>
              <w:jc w:val="center"/>
              <w:rPr>
                <w:rFonts w:ascii="仿宋" w:hAnsi="仿宋" w:eastAsia="仿宋" w:cs="宋体"/>
                <w:kern w:val="0"/>
                <w:sz w:val="24"/>
              </w:rPr>
            </w:pPr>
          </w:p>
        </w:tc>
      </w:tr>
      <w:tr w14:paraId="20F04E28">
        <w:tblPrEx>
          <w:tblCellMar>
            <w:top w:w="0" w:type="dxa"/>
            <w:left w:w="108" w:type="dxa"/>
            <w:bottom w:w="0" w:type="dxa"/>
            <w:right w:w="108" w:type="dxa"/>
          </w:tblCellMar>
        </w:tblPrEx>
        <w:trPr>
          <w:trHeight w:val="510" w:hRule="atLeast"/>
          <w:jc w:val="center"/>
        </w:trPr>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69ED4B">
            <w:pPr>
              <w:widowControl/>
              <w:adjustRightInd w:val="0"/>
              <w:snapToGrid w:val="0"/>
              <w:spacing w:line="276" w:lineRule="auto"/>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7</w:t>
            </w:r>
          </w:p>
        </w:tc>
        <w:tc>
          <w:tcPr>
            <w:tcW w:w="708" w:type="pct"/>
            <w:tcBorders>
              <w:top w:val="single" w:color="auto" w:sz="4" w:space="0"/>
              <w:left w:val="nil"/>
              <w:right w:val="single" w:color="auto" w:sz="4" w:space="0"/>
            </w:tcBorders>
            <w:shd w:val="clear" w:color="auto" w:fill="auto"/>
            <w:noWrap/>
            <w:vAlign w:val="center"/>
          </w:tcPr>
          <w:p w14:paraId="33D2EEC4">
            <w:pPr>
              <w:widowControl/>
              <w:adjustRightInd w:val="0"/>
              <w:snapToGrid w:val="0"/>
              <w:spacing w:line="276" w:lineRule="auto"/>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配件</w:t>
            </w:r>
          </w:p>
        </w:tc>
        <w:tc>
          <w:tcPr>
            <w:tcW w:w="691" w:type="pct"/>
            <w:tcBorders>
              <w:top w:val="single" w:color="auto" w:sz="4" w:space="0"/>
              <w:left w:val="nil"/>
              <w:bottom w:val="single" w:color="auto" w:sz="4" w:space="0"/>
              <w:right w:val="single" w:color="auto" w:sz="4" w:space="0"/>
            </w:tcBorders>
            <w:shd w:val="clear" w:color="auto" w:fill="auto"/>
            <w:noWrap/>
            <w:vAlign w:val="center"/>
          </w:tcPr>
          <w:p w14:paraId="65C141A1">
            <w:pPr>
              <w:widowControl/>
              <w:adjustRightInd w:val="0"/>
              <w:snapToGrid w:val="0"/>
              <w:spacing w:line="276" w:lineRule="auto"/>
              <w:jc w:val="center"/>
              <w:rPr>
                <w:rFonts w:hint="default" w:ascii="仿宋" w:hAnsi="仿宋" w:eastAsia="仿宋"/>
                <w:sz w:val="24"/>
                <w:szCs w:val="28"/>
                <w:lang w:val="en-US" w:eastAsia="zh-CN"/>
              </w:rPr>
            </w:pPr>
            <w:r>
              <w:rPr>
                <w:rFonts w:hint="eastAsia" w:ascii="仿宋" w:hAnsi="仿宋" w:eastAsia="仿宋"/>
                <w:sz w:val="24"/>
                <w:szCs w:val="28"/>
                <w:lang w:val="en-US" w:eastAsia="zh-CN"/>
              </w:rPr>
              <w:t>西克电池组</w:t>
            </w:r>
          </w:p>
        </w:tc>
        <w:tc>
          <w:tcPr>
            <w:tcW w:w="509" w:type="pct"/>
            <w:tcBorders>
              <w:top w:val="single" w:color="auto" w:sz="4" w:space="0"/>
              <w:left w:val="nil"/>
              <w:bottom w:val="single" w:color="auto" w:sz="4" w:space="0"/>
              <w:right w:val="single" w:color="auto" w:sz="4" w:space="0"/>
            </w:tcBorders>
            <w:shd w:val="clear" w:color="auto" w:fill="auto"/>
            <w:noWrap/>
            <w:vAlign w:val="center"/>
          </w:tcPr>
          <w:p w14:paraId="745F2B84">
            <w:pPr>
              <w:widowControl/>
              <w:adjustRightInd w:val="0"/>
              <w:snapToGrid w:val="0"/>
              <w:spacing w:line="276" w:lineRule="auto"/>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组</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14:paraId="6ACA51EC">
            <w:pPr>
              <w:widowControl/>
              <w:adjustRightInd w:val="0"/>
              <w:snapToGrid w:val="0"/>
              <w:spacing w:line="276" w:lineRule="auto"/>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6</w:t>
            </w:r>
          </w:p>
        </w:tc>
        <w:tc>
          <w:tcPr>
            <w:tcW w:w="712" w:type="pct"/>
            <w:tcBorders>
              <w:top w:val="single" w:color="auto" w:sz="4" w:space="0"/>
              <w:left w:val="nil"/>
              <w:bottom w:val="single" w:color="auto" w:sz="4" w:space="0"/>
              <w:right w:val="single" w:color="auto" w:sz="4" w:space="0"/>
            </w:tcBorders>
            <w:shd w:val="clear" w:color="auto" w:fill="auto"/>
            <w:noWrap/>
            <w:vAlign w:val="center"/>
          </w:tcPr>
          <w:p w14:paraId="4B856335">
            <w:pPr>
              <w:widowControl/>
              <w:adjustRightInd w:val="0"/>
              <w:snapToGrid w:val="0"/>
              <w:spacing w:line="276" w:lineRule="auto"/>
              <w:jc w:val="center"/>
              <w:rPr>
                <w:rFonts w:ascii="仿宋" w:hAnsi="仿宋" w:eastAsia="仿宋" w:cs="宋体"/>
                <w:kern w:val="0"/>
                <w:sz w:val="24"/>
              </w:rPr>
            </w:pPr>
          </w:p>
        </w:tc>
        <w:tc>
          <w:tcPr>
            <w:tcW w:w="6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A23C16">
            <w:pPr>
              <w:widowControl/>
              <w:adjustRightInd w:val="0"/>
              <w:snapToGrid w:val="0"/>
              <w:spacing w:line="276" w:lineRule="auto"/>
              <w:jc w:val="center"/>
              <w:rPr>
                <w:rFonts w:hint="default" w:ascii="仿宋" w:hAnsi="仿宋" w:eastAsia="仿宋" w:cs="宋体"/>
                <w:kern w:val="0"/>
                <w:sz w:val="24"/>
                <w:lang w:val="en-US" w:eastAsia="zh-CN"/>
              </w:rPr>
            </w:pPr>
          </w:p>
        </w:tc>
        <w:tc>
          <w:tcPr>
            <w:tcW w:w="5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411A20">
            <w:pPr>
              <w:widowControl/>
              <w:adjustRightInd w:val="0"/>
              <w:snapToGrid w:val="0"/>
              <w:spacing w:line="276" w:lineRule="auto"/>
              <w:jc w:val="center"/>
              <w:rPr>
                <w:rFonts w:ascii="仿宋" w:hAnsi="仿宋" w:eastAsia="仿宋" w:cs="宋体"/>
                <w:kern w:val="0"/>
                <w:sz w:val="24"/>
              </w:rPr>
            </w:pPr>
          </w:p>
        </w:tc>
      </w:tr>
      <w:tr w14:paraId="5E440AE5">
        <w:tblPrEx>
          <w:tblCellMar>
            <w:top w:w="0" w:type="dxa"/>
            <w:left w:w="108" w:type="dxa"/>
            <w:bottom w:w="0" w:type="dxa"/>
            <w:right w:w="108" w:type="dxa"/>
          </w:tblCellMar>
        </w:tblPrEx>
        <w:trPr>
          <w:trHeight w:val="510" w:hRule="atLeast"/>
          <w:jc w:val="center"/>
        </w:trPr>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D69BFC">
            <w:pPr>
              <w:widowControl/>
              <w:adjustRightInd w:val="0"/>
              <w:snapToGrid w:val="0"/>
              <w:spacing w:line="276" w:lineRule="auto"/>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8</w:t>
            </w:r>
          </w:p>
        </w:tc>
        <w:tc>
          <w:tcPr>
            <w:tcW w:w="708" w:type="pct"/>
            <w:tcBorders>
              <w:top w:val="single" w:color="auto" w:sz="4" w:space="0"/>
              <w:left w:val="nil"/>
              <w:right w:val="single" w:color="auto" w:sz="4" w:space="0"/>
            </w:tcBorders>
            <w:shd w:val="clear" w:color="auto" w:fill="auto"/>
            <w:noWrap/>
            <w:vAlign w:val="center"/>
          </w:tcPr>
          <w:p w14:paraId="499D717C">
            <w:pPr>
              <w:widowControl/>
              <w:adjustRightInd w:val="0"/>
              <w:snapToGrid w:val="0"/>
              <w:spacing w:line="276" w:lineRule="auto"/>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配件</w:t>
            </w:r>
          </w:p>
        </w:tc>
        <w:tc>
          <w:tcPr>
            <w:tcW w:w="691" w:type="pct"/>
            <w:tcBorders>
              <w:top w:val="single" w:color="auto" w:sz="4" w:space="0"/>
              <w:left w:val="nil"/>
              <w:bottom w:val="single" w:color="auto" w:sz="4" w:space="0"/>
              <w:right w:val="single" w:color="auto" w:sz="4" w:space="0"/>
            </w:tcBorders>
            <w:shd w:val="clear" w:color="auto" w:fill="auto"/>
            <w:noWrap/>
            <w:vAlign w:val="center"/>
          </w:tcPr>
          <w:p w14:paraId="7462872A">
            <w:pPr>
              <w:widowControl/>
              <w:adjustRightInd w:val="0"/>
              <w:snapToGrid w:val="0"/>
              <w:spacing w:line="276" w:lineRule="auto"/>
              <w:jc w:val="center"/>
              <w:rPr>
                <w:rFonts w:hint="default" w:ascii="仿宋" w:hAnsi="仿宋" w:eastAsia="仿宋"/>
                <w:sz w:val="24"/>
                <w:szCs w:val="28"/>
                <w:lang w:val="en-US" w:eastAsia="zh-CN"/>
              </w:rPr>
            </w:pPr>
            <w:r>
              <w:rPr>
                <w:rFonts w:hint="eastAsia" w:ascii="仿宋" w:hAnsi="仿宋" w:eastAsia="仿宋"/>
                <w:sz w:val="24"/>
                <w:szCs w:val="28"/>
                <w:lang w:val="en-US" w:eastAsia="zh-CN"/>
              </w:rPr>
              <w:t>胜赛斯电池组</w:t>
            </w:r>
          </w:p>
        </w:tc>
        <w:tc>
          <w:tcPr>
            <w:tcW w:w="509" w:type="pct"/>
            <w:tcBorders>
              <w:top w:val="single" w:color="auto" w:sz="4" w:space="0"/>
              <w:left w:val="nil"/>
              <w:bottom w:val="single" w:color="auto" w:sz="4" w:space="0"/>
              <w:right w:val="single" w:color="auto" w:sz="4" w:space="0"/>
            </w:tcBorders>
            <w:shd w:val="clear" w:color="auto" w:fill="auto"/>
            <w:noWrap/>
            <w:vAlign w:val="center"/>
          </w:tcPr>
          <w:p w14:paraId="6B9095AF">
            <w:pPr>
              <w:widowControl/>
              <w:adjustRightInd w:val="0"/>
              <w:snapToGrid w:val="0"/>
              <w:spacing w:line="276" w:lineRule="auto"/>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组</w:t>
            </w:r>
          </w:p>
        </w:tc>
        <w:tc>
          <w:tcPr>
            <w:tcW w:w="704" w:type="pct"/>
            <w:tcBorders>
              <w:top w:val="single" w:color="auto" w:sz="4" w:space="0"/>
              <w:left w:val="single" w:color="auto" w:sz="4" w:space="0"/>
              <w:bottom w:val="single" w:color="auto" w:sz="4" w:space="0"/>
              <w:right w:val="single" w:color="auto" w:sz="4" w:space="0"/>
            </w:tcBorders>
            <w:shd w:val="clear" w:color="auto" w:fill="auto"/>
            <w:vAlign w:val="center"/>
          </w:tcPr>
          <w:p w14:paraId="56B4F261">
            <w:pPr>
              <w:widowControl/>
              <w:adjustRightInd w:val="0"/>
              <w:snapToGrid w:val="0"/>
              <w:spacing w:line="276" w:lineRule="auto"/>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10</w:t>
            </w:r>
          </w:p>
        </w:tc>
        <w:tc>
          <w:tcPr>
            <w:tcW w:w="712" w:type="pct"/>
            <w:tcBorders>
              <w:top w:val="single" w:color="auto" w:sz="4" w:space="0"/>
              <w:left w:val="nil"/>
              <w:bottom w:val="single" w:color="auto" w:sz="4" w:space="0"/>
              <w:right w:val="single" w:color="auto" w:sz="4" w:space="0"/>
            </w:tcBorders>
            <w:shd w:val="clear" w:color="auto" w:fill="auto"/>
            <w:noWrap/>
            <w:vAlign w:val="center"/>
          </w:tcPr>
          <w:p w14:paraId="78D4A6FB">
            <w:pPr>
              <w:widowControl/>
              <w:adjustRightInd w:val="0"/>
              <w:snapToGrid w:val="0"/>
              <w:spacing w:line="276" w:lineRule="auto"/>
              <w:jc w:val="center"/>
              <w:rPr>
                <w:rFonts w:ascii="仿宋" w:hAnsi="仿宋" w:eastAsia="仿宋" w:cs="宋体"/>
                <w:kern w:val="0"/>
                <w:sz w:val="24"/>
              </w:rPr>
            </w:pPr>
          </w:p>
        </w:tc>
        <w:tc>
          <w:tcPr>
            <w:tcW w:w="6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7DCDBA">
            <w:pPr>
              <w:widowControl/>
              <w:adjustRightInd w:val="0"/>
              <w:snapToGrid w:val="0"/>
              <w:spacing w:line="276" w:lineRule="auto"/>
              <w:jc w:val="center"/>
              <w:rPr>
                <w:rFonts w:hint="default" w:ascii="仿宋" w:hAnsi="仿宋" w:eastAsia="仿宋" w:cs="宋体"/>
                <w:kern w:val="0"/>
                <w:sz w:val="24"/>
                <w:lang w:val="en-US" w:eastAsia="zh-CN"/>
              </w:rPr>
            </w:pPr>
          </w:p>
        </w:tc>
        <w:tc>
          <w:tcPr>
            <w:tcW w:w="5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0CDF2C">
            <w:pPr>
              <w:widowControl/>
              <w:adjustRightInd w:val="0"/>
              <w:snapToGrid w:val="0"/>
              <w:spacing w:line="276" w:lineRule="auto"/>
              <w:jc w:val="center"/>
              <w:rPr>
                <w:rFonts w:ascii="仿宋" w:hAnsi="仿宋" w:eastAsia="仿宋" w:cs="宋体"/>
                <w:kern w:val="0"/>
                <w:sz w:val="24"/>
              </w:rPr>
            </w:pPr>
          </w:p>
        </w:tc>
      </w:tr>
      <w:tr w14:paraId="348EB0A2">
        <w:tblPrEx>
          <w:tblCellMar>
            <w:top w:w="0" w:type="dxa"/>
            <w:left w:w="108" w:type="dxa"/>
            <w:bottom w:w="0" w:type="dxa"/>
            <w:right w:w="108" w:type="dxa"/>
          </w:tblCellMar>
        </w:tblPrEx>
        <w:trPr>
          <w:trHeight w:val="468" w:hRule="atLeast"/>
          <w:jc w:val="center"/>
        </w:trPr>
        <w:tc>
          <w:tcPr>
            <w:tcW w:w="184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2B931FE">
            <w:pPr>
              <w:widowControl/>
              <w:adjustRightInd w:val="0"/>
              <w:snapToGrid w:val="0"/>
              <w:spacing w:line="276" w:lineRule="auto"/>
              <w:jc w:val="center"/>
              <w:rPr>
                <w:rFonts w:ascii="仿宋" w:hAnsi="仿宋" w:eastAsia="仿宋" w:cs="宋体"/>
                <w:kern w:val="0"/>
                <w:sz w:val="24"/>
              </w:rPr>
            </w:pPr>
            <w:r>
              <w:rPr>
                <w:rFonts w:hint="eastAsia" w:ascii="仿宋" w:hAnsi="仿宋" w:eastAsia="仿宋" w:cs="宋体"/>
                <w:kern w:val="0"/>
                <w:sz w:val="24"/>
              </w:rPr>
              <w:t>增值税税率</w:t>
            </w:r>
          </w:p>
        </w:tc>
        <w:tc>
          <w:tcPr>
            <w:tcW w:w="3156" w:type="pct"/>
            <w:gridSpan w:val="5"/>
            <w:tcBorders>
              <w:top w:val="single" w:color="auto" w:sz="4" w:space="0"/>
              <w:left w:val="nil"/>
              <w:bottom w:val="single" w:color="auto" w:sz="4" w:space="0"/>
              <w:right w:val="single" w:color="auto" w:sz="4" w:space="0"/>
            </w:tcBorders>
            <w:shd w:val="clear" w:color="auto" w:fill="auto"/>
            <w:vAlign w:val="center"/>
          </w:tcPr>
          <w:p w14:paraId="74BBBE92">
            <w:pPr>
              <w:widowControl/>
              <w:adjustRightInd w:val="0"/>
              <w:snapToGrid w:val="0"/>
              <w:spacing w:line="276" w:lineRule="auto"/>
              <w:jc w:val="center"/>
              <w:rPr>
                <w:rFonts w:ascii="仿宋" w:hAnsi="仿宋" w:eastAsia="仿宋" w:cs="宋体"/>
                <w:kern w:val="0"/>
                <w:sz w:val="24"/>
              </w:rPr>
            </w:pPr>
            <w:r>
              <w:rPr>
                <w:rFonts w:hint="eastAsia" w:ascii="仿宋" w:hAnsi="仿宋" w:eastAsia="仿宋" w:cs="宋体"/>
                <w:kern w:val="0"/>
                <w:sz w:val="24"/>
                <w:lang w:val="en-US" w:eastAsia="zh-CN"/>
              </w:rPr>
              <w:t>仪表维保6%、配件13%</w:t>
            </w:r>
          </w:p>
        </w:tc>
      </w:tr>
      <w:tr w14:paraId="44F343BE">
        <w:tblPrEx>
          <w:tblCellMar>
            <w:top w:w="0" w:type="dxa"/>
            <w:left w:w="108" w:type="dxa"/>
            <w:bottom w:w="0" w:type="dxa"/>
            <w:right w:w="108" w:type="dxa"/>
          </w:tblCellMar>
        </w:tblPrEx>
        <w:trPr>
          <w:trHeight w:val="443" w:hRule="atLeast"/>
          <w:jc w:val="center"/>
        </w:trPr>
        <w:tc>
          <w:tcPr>
            <w:tcW w:w="184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FF9C4CC">
            <w:pPr>
              <w:widowControl/>
              <w:adjustRightInd w:val="0"/>
              <w:snapToGrid w:val="0"/>
              <w:spacing w:line="276" w:lineRule="auto"/>
              <w:jc w:val="center"/>
              <w:rPr>
                <w:rFonts w:ascii="仿宋" w:hAnsi="仿宋" w:eastAsia="仿宋" w:cs="宋体"/>
                <w:kern w:val="0"/>
                <w:sz w:val="24"/>
              </w:rPr>
            </w:pPr>
            <w:r>
              <w:rPr>
                <w:rFonts w:hint="eastAsia" w:ascii="仿宋" w:hAnsi="仿宋" w:eastAsia="仿宋" w:cs="宋体"/>
                <w:kern w:val="0"/>
                <w:sz w:val="24"/>
              </w:rPr>
              <w:t>含税合计金额</w:t>
            </w:r>
          </w:p>
        </w:tc>
        <w:tc>
          <w:tcPr>
            <w:tcW w:w="3156" w:type="pct"/>
            <w:gridSpan w:val="5"/>
            <w:tcBorders>
              <w:top w:val="single" w:color="auto" w:sz="4" w:space="0"/>
              <w:left w:val="nil"/>
              <w:bottom w:val="single" w:color="auto" w:sz="4" w:space="0"/>
              <w:right w:val="single" w:color="auto" w:sz="4" w:space="0"/>
            </w:tcBorders>
            <w:shd w:val="clear" w:color="auto" w:fill="auto"/>
            <w:vAlign w:val="center"/>
          </w:tcPr>
          <w:p w14:paraId="0578EA26">
            <w:pPr>
              <w:widowControl/>
              <w:adjustRightInd w:val="0"/>
              <w:snapToGrid w:val="0"/>
              <w:spacing w:line="276" w:lineRule="auto"/>
              <w:jc w:val="center"/>
              <w:rPr>
                <w:rFonts w:ascii="仿宋" w:hAnsi="仿宋" w:eastAsia="仿宋" w:cs="宋体"/>
                <w:kern w:val="0"/>
                <w:sz w:val="24"/>
              </w:rPr>
            </w:pPr>
          </w:p>
        </w:tc>
      </w:tr>
      <w:tr w14:paraId="135EEC3B">
        <w:tblPrEx>
          <w:tblCellMar>
            <w:top w:w="0" w:type="dxa"/>
            <w:left w:w="108" w:type="dxa"/>
            <w:bottom w:w="0" w:type="dxa"/>
            <w:right w:w="108" w:type="dxa"/>
          </w:tblCellMar>
        </w:tblPrEx>
        <w:trPr>
          <w:trHeight w:val="443"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2BEB0ED5">
            <w:pPr>
              <w:widowControl/>
              <w:adjustRightInd w:val="0"/>
              <w:snapToGrid w:val="0"/>
              <w:spacing w:line="276" w:lineRule="auto"/>
              <w:rPr>
                <w:rFonts w:ascii="仿宋" w:hAnsi="仿宋" w:eastAsia="仿宋" w:cs="宋体"/>
                <w:kern w:val="0"/>
                <w:sz w:val="24"/>
              </w:rPr>
            </w:pPr>
            <w:r>
              <w:rPr>
                <w:rFonts w:hint="eastAsia" w:ascii="仿宋" w:hAnsi="仿宋" w:eastAsia="仿宋" w:cs="宋体"/>
                <w:kern w:val="0"/>
                <w:sz w:val="24"/>
              </w:rPr>
              <w:t>备注：</w:t>
            </w:r>
          </w:p>
          <w:p w14:paraId="6D4012F0">
            <w:pPr>
              <w:widowControl/>
              <w:adjustRightInd w:val="0"/>
              <w:snapToGrid w:val="0"/>
              <w:spacing w:line="276" w:lineRule="auto"/>
              <w:rPr>
                <w:rFonts w:ascii="仿宋" w:hAnsi="仿宋" w:eastAsia="仿宋" w:cs="宋体"/>
                <w:kern w:val="0"/>
                <w:sz w:val="24"/>
              </w:rPr>
            </w:pPr>
            <w:r>
              <w:rPr>
                <w:rFonts w:hint="eastAsia" w:ascii="仿宋" w:hAnsi="仿宋" w:eastAsia="仿宋" w:cs="宋体"/>
                <w:kern w:val="0"/>
                <w:sz w:val="24"/>
              </w:rPr>
              <w:t>1.</w:t>
            </w:r>
            <w:r>
              <w:rPr>
                <w:rFonts w:ascii="仿宋" w:hAnsi="仿宋" w:eastAsia="仿宋"/>
                <w:kern w:val="0"/>
                <w:sz w:val="24"/>
              </w:rPr>
              <w:t>该报价包含增值税专用发票（</w:t>
            </w:r>
            <w:r>
              <w:rPr>
                <w:rFonts w:hint="eastAsia" w:ascii="仿宋" w:hAnsi="仿宋" w:eastAsia="仿宋" w:cs="宋体"/>
                <w:kern w:val="0"/>
                <w:sz w:val="24"/>
              </w:rPr>
              <w:t>税率</w:t>
            </w:r>
            <w:r>
              <w:rPr>
                <w:rFonts w:hint="eastAsia" w:ascii="仿宋" w:hAnsi="仿宋" w:eastAsia="仿宋" w:cs="宋体"/>
                <w:kern w:val="0"/>
                <w:sz w:val="24"/>
                <w:highlight w:val="none"/>
                <w:lang w:val="en-US" w:eastAsia="zh-CN"/>
              </w:rPr>
              <w:t>6%、13%</w:t>
            </w:r>
            <w:r>
              <w:rPr>
                <w:rFonts w:hint="eastAsia" w:ascii="仿宋" w:hAnsi="仿宋" w:eastAsia="仿宋"/>
                <w:kern w:val="0"/>
                <w:sz w:val="24"/>
                <w:highlight w:val="none"/>
              </w:rPr>
              <w:t>，</w:t>
            </w:r>
            <w:r>
              <w:rPr>
                <w:rFonts w:hint="eastAsia" w:ascii="仿宋" w:hAnsi="仿宋" w:eastAsia="仿宋"/>
                <w:kern w:val="0"/>
                <w:sz w:val="24"/>
              </w:rPr>
              <w:t>如国家调整税率则做相应税额调整</w:t>
            </w:r>
            <w:r>
              <w:rPr>
                <w:rFonts w:ascii="仿宋" w:hAnsi="仿宋" w:eastAsia="仿宋"/>
                <w:kern w:val="0"/>
                <w:sz w:val="24"/>
              </w:rPr>
              <w:t>）</w:t>
            </w:r>
            <w:r>
              <w:rPr>
                <w:rFonts w:hint="eastAsia" w:ascii="仿宋" w:hAnsi="仿宋" w:eastAsia="仿宋"/>
                <w:kern w:val="0"/>
                <w:sz w:val="24"/>
              </w:rPr>
              <w:t>、</w:t>
            </w:r>
            <w:r>
              <w:rPr>
                <w:rFonts w:hint="eastAsia" w:ascii="仿宋" w:hAnsi="仿宋" w:eastAsia="仿宋"/>
                <w:kern w:val="0"/>
                <w:sz w:val="24"/>
                <w:highlight w:val="none"/>
              </w:rPr>
              <w:t>技术服务费、检测费、检验费、税费、售后服务</w:t>
            </w:r>
            <w:r>
              <w:rPr>
                <w:rFonts w:ascii="仿宋" w:hAnsi="仿宋" w:eastAsia="仿宋"/>
                <w:kern w:val="0"/>
                <w:sz w:val="24"/>
                <w:highlight w:val="none"/>
              </w:rPr>
              <w:t>等</w:t>
            </w:r>
            <w:r>
              <w:rPr>
                <w:rFonts w:ascii="仿宋" w:hAnsi="仿宋" w:eastAsia="仿宋"/>
                <w:kern w:val="0"/>
                <w:sz w:val="24"/>
              </w:rPr>
              <w:t>所有附加服务费用</w:t>
            </w:r>
            <w:r>
              <w:rPr>
                <w:rFonts w:hint="eastAsia" w:ascii="仿宋" w:hAnsi="仿宋" w:eastAsia="仿宋"/>
                <w:kern w:val="0"/>
                <w:sz w:val="24"/>
              </w:rPr>
              <w:t>。</w:t>
            </w:r>
          </w:p>
          <w:p w14:paraId="04221AC7">
            <w:pPr>
              <w:widowControl/>
              <w:adjustRightInd w:val="0"/>
              <w:snapToGrid w:val="0"/>
              <w:spacing w:line="276" w:lineRule="auto"/>
              <w:rPr>
                <w:rFonts w:hint="eastAsia" w:ascii="仿宋" w:hAnsi="仿宋" w:eastAsia="仿宋" w:cs="宋体"/>
                <w:kern w:val="0"/>
                <w:sz w:val="24"/>
                <w:lang w:eastAsia="zh-CN"/>
              </w:rPr>
            </w:pPr>
            <w:r>
              <w:rPr>
                <w:rFonts w:hint="eastAsia" w:ascii="仿宋" w:hAnsi="仿宋" w:eastAsia="仿宋"/>
                <w:kern w:val="0"/>
                <w:sz w:val="24"/>
              </w:rPr>
              <w:t>2.</w:t>
            </w:r>
            <w:r>
              <w:rPr>
                <w:rFonts w:hint="eastAsia" w:ascii="仿宋" w:hAnsi="仿宋" w:eastAsia="仿宋"/>
                <w:sz w:val="24"/>
                <w:lang w:val="en-GB"/>
              </w:rPr>
              <w:t>采购量为预估，实际数量以订单为准</w:t>
            </w:r>
            <w:r>
              <w:rPr>
                <w:rFonts w:hint="eastAsia" w:ascii="仿宋" w:hAnsi="仿宋" w:eastAsia="仿宋"/>
                <w:sz w:val="24"/>
                <w:lang w:val="en-GB" w:eastAsia="zh-CN"/>
              </w:rPr>
              <w:t>。</w:t>
            </w:r>
          </w:p>
        </w:tc>
      </w:tr>
    </w:tbl>
    <w:p w14:paraId="28D84652">
      <w:pPr>
        <w:pStyle w:val="21"/>
        <w:spacing w:line="360" w:lineRule="auto"/>
        <w:rPr>
          <w:rFonts w:ascii="仿宋" w:hAnsi="仿宋" w:eastAsia="仿宋" w:cs="Times New Roman"/>
          <w:kern w:val="2"/>
          <w:sz w:val="24"/>
          <w:szCs w:val="28"/>
        </w:rPr>
      </w:pPr>
      <w:r>
        <w:rPr>
          <w:rFonts w:ascii="仿宋" w:hAnsi="仿宋" w:eastAsia="仿宋" w:cs="Times New Roman"/>
          <w:kern w:val="2"/>
          <w:sz w:val="24"/>
          <w:szCs w:val="28"/>
        </w:rPr>
        <w:t>注：</w:t>
      </w:r>
      <w:r>
        <w:rPr>
          <w:rFonts w:hint="eastAsia" w:ascii="仿宋" w:hAnsi="仿宋" w:eastAsia="仿宋" w:cs="Times New Roman"/>
          <w:kern w:val="2"/>
          <w:sz w:val="24"/>
          <w:szCs w:val="28"/>
        </w:rPr>
        <w:t>1</w:t>
      </w:r>
      <w:r>
        <w:rPr>
          <w:rFonts w:ascii="仿宋" w:hAnsi="仿宋" w:eastAsia="仿宋" w:cs="Times New Roman"/>
          <w:kern w:val="2"/>
          <w:sz w:val="24"/>
          <w:szCs w:val="28"/>
        </w:rPr>
        <w:t>.报价为含税价，税率根据国家规定执行，如国家调整则做相应税额调整。</w:t>
      </w:r>
    </w:p>
    <w:p w14:paraId="55FE904E">
      <w:pPr>
        <w:rPr>
          <w:rFonts w:ascii="仿宋" w:hAnsi="仿宋" w:eastAsia="仿宋"/>
          <w:sz w:val="24"/>
          <w:szCs w:val="28"/>
        </w:rPr>
      </w:pPr>
    </w:p>
    <w:p w14:paraId="1A0AEAC0">
      <w:pPr>
        <w:rPr>
          <w:rFonts w:ascii="仿宋" w:hAnsi="仿宋" w:eastAsia="仿宋"/>
          <w:sz w:val="24"/>
          <w:szCs w:val="28"/>
        </w:rPr>
      </w:pPr>
    </w:p>
    <w:p w14:paraId="3A67964A">
      <w:pPr>
        <w:tabs>
          <w:tab w:val="left" w:pos="720"/>
          <w:tab w:val="left" w:pos="900"/>
        </w:tabs>
        <w:spacing w:line="360" w:lineRule="auto"/>
        <w:jc w:val="right"/>
        <w:rPr>
          <w:rFonts w:ascii="仿宋" w:hAnsi="仿宋" w:eastAsia="仿宋" w:cstheme="minorBidi"/>
          <w:sz w:val="24"/>
          <w:szCs w:val="22"/>
          <w:u w:val="single"/>
        </w:rPr>
      </w:pPr>
      <w:r>
        <w:rPr>
          <w:rFonts w:hint="eastAsia" w:ascii="仿宋" w:hAnsi="仿宋" w:eastAsia="仿宋" w:cstheme="minorBidi"/>
          <w:sz w:val="24"/>
          <w:szCs w:val="22"/>
        </w:rPr>
        <w:t>响应供应商：</w:t>
      </w:r>
      <w:r>
        <w:rPr>
          <w:rFonts w:hint="eastAsia" w:ascii="仿宋" w:hAnsi="仿宋" w:eastAsia="仿宋" w:cstheme="minorBidi"/>
          <w:sz w:val="24"/>
          <w:szCs w:val="22"/>
          <w:u w:val="single"/>
          <w:lang w:val="en-US" w:eastAsia="zh-CN"/>
        </w:rPr>
        <w:t xml:space="preserve">   </w:t>
      </w:r>
      <w:r>
        <w:rPr>
          <w:rFonts w:hint="eastAsia" w:ascii="仿宋" w:hAnsi="仿宋" w:eastAsia="仿宋" w:cstheme="minorBidi"/>
          <w:sz w:val="24"/>
          <w:szCs w:val="22"/>
          <w:u w:val="single"/>
        </w:rPr>
        <w:t xml:space="preserve">        （盖单位公章）</w:t>
      </w:r>
    </w:p>
    <w:p w14:paraId="7EDF8AC9">
      <w:pPr>
        <w:tabs>
          <w:tab w:val="left" w:pos="720"/>
          <w:tab w:val="left" w:pos="900"/>
        </w:tabs>
        <w:spacing w:line="360" w:lineRule="auto"/>
        <w:jc w:val="right"/>
        <w:rPr>
          <w:rFonts w:ascii="仿宋" w:hAnsi="仿宋" w:eastAsia="仿宋" w:cstheme="minorBidi"/>
          <w:sz w:val="24"/>
          <w:szCs w:val="22"/>
          <w:u w:val="single"/>
        </w:rPr>
      </w:pPr>
      <w:r>
        <w:rPr>
          <w:rFonts w:hint="eastAsia" w:ascii="仿宋" w:hAnsi="仿宋" w:eastAsia="仿宋" w:cstheme="minorBidi"/>
          <w:sz w:val="24"/>
        </w:rPr>
        <w:t>法定代表人（或授权代表）：</w:t>
      </w:r>
      <w:r>
        <w:rPr>
          <w:rFonts w:hint="eastAsia" w:ascii="仿宋" w:hAnsi="仿宋" w:eastAsia="仿宋" w:cstheme="minorBidi"/>
          <w:sz w:val="24"/>
          <w:u w:val="single"/>
          <w:lang w:val="en-US" w:eastAsia="zh-CN"/>
        </w:rPr>
        <w:t xml:space="preserve">           </w:t>
      </w:r>
      <w:r>
        <w:rPr>
          <w:rFonts w:hint="eastAsia" w:ascii="仿宋" w:hAnsi="仿宋" w:eastAsia="仿宋" w:cstheme="minorBidi"/>
          <w:sz w:val="24"/>
          <w:u w:val="single"/>
        </w:rPr>
        <w:t>（盖章或签字）</w:t>
      </w:r>
    </w:p>
    <w:p w14:paraId="41DDAB5F">
      <w:pPr>
        <w:tabs>
          <w:tab w:val="left" w:pos="720"/>
          <w:tab w:val="left" w:pos="900"/>
        </w:tabs>
        <w:spacing w:line="360" w:lineRule="auto"/>
        <w:jc w:val="right"/>
        <w:rPr>
          <w:rFonts w:ascii="仿宋" w:hAnsi="仿宋" w:eastAsia="仿宋" w:cstheme="minorBidi"/>
          <w:sz w:val="24"/>
          <w:szCs w:val="22"/>
        </w:rPr>
      </w:pPr>
      <w:r>
        <w:rPr>
          <w:rFonts w:hint="eastAsia" w:ascii="仿宋" w:hAnsi="仿宋" w:eastAsia="仿宋" w:cstheme="minorBidi"/>
          <w:sz w:val="24"/>
          <w:szCs w:val="22"/>
        </w:rPr>
        <w:t>日    期：</w:t>
      </w:r>
      <w:r>
        <w:rPr>
          <w:rFonts w:hint="eastAsia" w:ascii="仿宋" w:hAnsi="仿宋" w:eastAsia="仿宋" w:cstheme="minorBidi"/>
          <w:sz w:val="24"/>
          <w:szCs w:val="22"/>
          <w:u w:val="single"/>
        </w:rPr>
        <w:t xml:space="preserve">   </w:t>
      </w:r>
      <w:r>
        <w:rPr>
          <w:rFonts w:hint="eastAsia" w:ascii="仿宋" w:hAnsi="仿宋" w:eastAsia="仿宋" w:cstheme="minorBidi"/>
          <w:sz w:val="24"/>
          <w:szCs w:val="22"/>
          <w:u w:val="single"/>
          <w:lang w:val="en-US" w:eastAsia="zh-CN"/>
        </w:rPr>
        <w:t xml:space="preserve">   </w:t>
      </w:r>
      <w:r>
        <w:rPr>
          <w:rFonts w:hint="eastAsia" w:ascii="仿宋" w:hAnsi="仿宋" w:eastAsia="仿宋" w:cstheme="minorBidi"/>
          <w:sz w:val="24"/>
          <w:szCs w:val="22"/>
          <w:u w:val="single"/>
        </w:rPr>
        <w:t xml:space="preserve">   </w:t>
      </w:r>
      <w:r>
        <w:rPr>
          <w:rFonts w:hint="eastAsia" w:ascii="仿宋" w:hAnsi="仿宋" w:eastAsia="仿宋" w:cstheme="minorBidi"/>
          <w:sz w:val="24"/>
          <w:szCs w:val="22"/>
        </w:rPr>
        <w:t>年</w:t>
      </w:r>
      <w:r>
        <w:rPr>
          <w:rFonts w:hint="eastAsia" w:ascii="仿宋" w:hAnsi="仿宋" w:eastAsia="仿宋" w:cstheme="minorBidi"/>
          <w:sz w:val="24"/>
          <w:szCs w:val="22"/>
          <w:u w:val="single"/>
        </w:rPr>
        <w:t xml:space="preserve">     </w:t>
      </w:r>
      <w:r>
        <w:rPr>
          <w:rFonts w:hint="eastAsia" w:ascii="仿宋" w:hAnsi="仿宋" w:eastAsia="仿宋" w:cstheme="minorBidi"/>
          <w:sz w:val="24"/>
          <w:szCs w:val="22"/>
        </w:rPr>
        <w:t>月</w:t>
      </w:r>
      <w:r>
        <w:rPr>
          <w:rFonts w:hint="eastAsia" w:ascii="仿宋" w:hAnsi="仿宋" w:eastAsia="仿宋" w:cstheme="minorBidi"/>
          <w:sz w:val="24"/>
          <w:szCs w:val="22"/>
          <w:u w:val="single"/>
        </w:rPr>
        <w:t xml:space="preserve">     </w:t>
      </w:r>
      <w:r>
        <w:rPr>
          <w:rFonts w:hint="eastAsia" w:ascii="仿宋" w:hAnsi="仿宋" w:eastAsia="仿宋" w:cstheme="minorBidi"/>
          <w:sz w:val="24"/>
          <w:szCs w:val="22"/>
        </w:rPr>
        <w:t>日</w:t>
      </w:r>
    </w:p>
    <w:p w14:paraId="4C984DA8">
      <w:pPr>
        <w:tabs>
          <w:tab w:val="left" w:pos="720"/>
          <w:tab w:val="left" w:pos="900"/>
        </w:tabs>
        <w:spacing w:line="360" w:lineRule="auto"/>
        <w:jc w:val="right"/>
        <w:rPr>
          <w:rFonts w:ascii="仿宋" w:hAnsi="仿宋" w:eastAsia="仿宋"/>
          <w:sz w:val="24"/>
        </w:rPr>
      </w:pPr>
    </w:p>
    <w:p w14:paraId="77D04470">
      <w:pPr>
        <w:tabs>
          <w:tab w:val="left" w:pos="720"/>
          <w:tab w:val="left" w:pos="900"/>
        </w:tabs>
        <w:spacing w:line="360" w:lineRule="auto"/>
        <w:jc w:val="right"/>
        <w:rPr>
          <w:rFonts w:ascii="仿宋" w:hAnsi="仿宋" w:eastAsia="仿宋"/>
          <w:sz w:val="24"/>
        </w:rPr>
      </w:pPr>
    </w:p>
    <w:p w14:paraId="4B93565C">
      <w:pPr>
        <w:tabs>
          <w:tab w:val="left" w:pos="720"/>
          <w:tab w:val="left" w:pos="900"/>
        </w:tabs>
        <w:spacing w:line="360" w:lineRule="auto"/>
        <w:jc w:val="right"/>
        <w:rPr>
          <w:rFonts w:ascii="仿宋" w:hAnsi="仿宋" w:eastAsia="仿宋"/>
          <w:sz w:val="24"/>
        </w:rPr>
      </w:pPr>
    </w:p>
    <w:p w14:paraId="55BD242C">
      <w:pPr>
        <w:tabs>
          <w:tab w:val="left" w:pos="720"/>
          <w:tab w:val="left" w:pos="900"/>
        </w:tabs>
        <w:spacing w:line="360" w:lineRule="auto"/>
        <w:jc w:val="right"/>
        <w:rPr>
          <w:rFonts w:ascii="仿宋" w:hAnsi="仿宋" w:eastAsia="仿宋"/>
          <w:sz w:val="24"/>
        </w:rPr>
      </w:pPr>
    </w:p>
    <w:p w14:paraId="4CBE580A">
      <w:pPr>
        <w:pStyle w:val="3"/>
        <w:numPr>
          <w:ilvl w:val="0"/>
          <w:numId w:val="8"/>
        </w:numPr>
        <w:adjustRightInd w:val="0"/>
        <w:snapToGrid w:val="0"/>
        <w:spacing w:before="120" w:after="120" w:line="360" w:lineRule="auto"/>
        <w:ind w:left="0" w:firstLine="0"/>
        <w:jc w:val="left"/>
        <w:rPr>
          <w:rFonts w:eastAsia="仿宋"/>
          <w:sz w:val="24"/>
        </w:rPr>
      </w:pPr>
      <w:r>
        <w:rPr>
          <w:rFonts w:hint="eastAsia" w:eastAsia="仿宋"/>
          <w:sz w:val="24"/>
        </w:rPr>
        <w:t>响应供应商资格要求等有关材料</w:t>
      </w:r>
    </w:p>
    <w:p w14:paraId="434EA78D">
      <w:pPr>
        <w:spacing w:line="360" w:lineRule="auto"/>
        <w:ind w:firstLine="480" w:firstLineChars="200"/>
        <w:rPr>
          <w:rFonts w:ascii="仿宋" w:hAnsi="仿宋" w:eastAsia="仿宋"/>
          <w:sz w:val="24"/>
        </w:rPr>
      </w:pPr>
      <w:bookmarkStart w:id="14" w:name="OLE_LINK18"/>
      <w:bookmarkStart w:id="15" w:name="OLE_LINK17"/>
      <w:bookmarkStart w:id="16" w:name="OLE_LINK16"/>
      <w:r>
        <w:rPr>
          <w:rFonts w:hint="eastAsia" w:ascii="仿宋" w:hAnsi="仿宋" w:eastAsia="仿宋"/>
          <w:sz w:val="24"/>
        </w:rPr>
        <w:t>1</w:t>
      </w:r>
      <w:bookmarkStart w:id="17" w:name="OLE_LINK29"/>
      <w:bookmarkStart w:id="18" w:name="OLE_LINK28"/>
      <w:r>
        <w:rPr>
          <w:rFonts w:hint="eastAsia" w:ascii="仿宋" w:hAnsi="仿宋" w:eastAsia="仿宋"/>
          <w:sz w:val="24"/>
        </w:rPr>
        <w:t>.资格要求响应扫描件</w:t>
      </w:r>
      <w:bookmarkEnd w:id="17"/>
      <w:bookmarkEnd w:id="18"/>
      <w:r>
        <w:rPr>
          <w:rFonts w:hint="eastAsia" w:ascii="仿宋" w:hAnsi="仿宋" w:eastAsia="仿宋"/>
          <w:sz w:val="24"/>
        </w:rPr>
        <w:t>。</w:t>
      </w:r>
    </w:p>
    <w:p w14:paraId="068BDD76">
      <w:pPr>
        <w:spacing w:line="360" w:lineRule="auto"/>
        <w:ind w:firstLine="480" w:firstLineChars="200"/>
        <w:rPr>
          <w:rFonts w:ascii="仿宋" w:hAnsi="仿宋" w:eastAsia="仿宋"/>
          <w:sz w:val="24"/>
        </w:rPr>
      </w:pPr>
      <w:r>
        <w:rPr>
          <w:rFonts w:hint="eastAsia" w:ascii="仿宋" w:hAnsi="仿宋" w:eastAsia="仿宋"/>
          <w:sz w:val="24"/>
        </w:rPr>
        <w:t>2.排名前五的股东名称。</w:t>
      </w:r>
    </w:p>
    <w:tbl>
      <w:tblPr>
        <w:tblStyle w:val="10"/>
        <w:tblW w:w="48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6453"/>
      </w:tblGrid>
      <w:tr w14:paraId="210B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tcBorders>
              <w:top w:val="single" w:color="auto" w:sz="4" w:space="0"/>
              <w:left w:val="single" w:color="auto" w:sz="4" w:space="0"/>
              <w:bottom w:val="single" w:color="auto" w:sz="4" w:space="0"/>
              <w:right w:val="single" w:color="auto" w:sz="4" w:space="0"/>
            </w:tcBorders>
            <w:vAlign w:val="center"/>
          </w:tcPr>
          <w:p w14:paraId="0F352A2F">
            <w:pPr>
              <w:pStyle w:val="28"/>
              <w:jc w:val="center"/>
              <w:rPr>
                <w:rFonts w:ascii="仿宋" w:hAnsi="仿宋" w:eastAsia="仿宋" w:cstheme="minorBidi"/>
                <w:kern w:val="2"/>
              </w:rPr>
            </w:pPr>
            <w:r>
              <w:rPr>
                <w:rFonts w:hint="eastAsia" w:ascii="仿宋" w:hAnsi="仿宋" w:eastAsia="仿宋" w:cstheme="minorBidi"/>
                <w:kern w:val="2"/>
              </w:rPr>
              <w:t>序号</w:t>
            </w:r>
          </w:p>
        </w:tc>
        <w:tc>
          <w:tcPr>
            <w:tcW w:w="6454" w:type="dxa"/>
            <w:tcBorders>
              <w:top w:val="single" w:color="auto" w:sz="4" w:space="0"/>
              <w:left w:val="nil"/>
              <w:bottom w:val="single" w:color="auto" w:sz="4" w:space="0"/>
              <w:right w:val="single" w:color="auto" w:sz="4" w:space="0"/>
            </w:tcBorders>
            <w:vAlign w:val="center"/>
          </w:tcPr>
          <w:p w14:paraId="00BDA87E">
            <w:pPr>
              <w:pStyle w:val="28"/>
              <w:ind w:firstLine="480"/>
              <w:jc w:val="center"/>
              <w:rPr>
                <w:rFonts w:ascii="仿宋" w:hAnsi="仿宋" w:eastAsia="仿宋" w:cstheme="minorBidi"/>
                <w:kern w:val="2"/>
              </w:rPr>
            </w:pPr>
            <w:r>
              <w:rPr>
                <w:rFonts w:hint="eastAsia" w:ascii="仿宋" w:hAnsi="仿宋" w:eastAsia="仿宋" w:cstheme="minorBidi"/>
                <w:kern w:val="2"/>
              </w:rPr>
              <w:t>股东名称</w:t>
            </w:r>
          </w:p>
        </w:tc>
      </w:tr>
      <w:tr w14:paraId="38A5B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tcBorders>
              <w:top w:val="single" w:color="auto" w:sz="4" w:space="0"/>
              <w:left w:val="single" w:color="auto" w:sz="4" w:space="0"/>
              <w:bottom w:val="single" w:color="auto" w:sz="4" w:space="0"/>
              <w:right w:val="single" w:color="auto" w:sz="4" w:space="0"/>
            </w:tcBorders>
            <w:vAlign w:val="center"/>
          </w:tcPr>
          <w:p w14:paraId="00CC3B46">
            <w:pPr>
              <w:pStyle w:val="28"/>
              <w:jc w:val="center"/>
              <w:rPr>
                <w:rFonts w:ascii="仿宋" w:hAnsi="仿宋" w:eastAsia="仿宋" w:cstheme="minorBidi"/>
                <w:kern w:val="2"/>
              </w:rPr>
            </w:pPr>
            <w:r>
              <w:rPr>
                <w:rFonts w:hint="eastAsia" w:ascii="仿宋" w:hAnsi="仿宋" w:eastAsia="仿宋" w:cstheme="minorBidi"/>
                <w:kern w:val="2"/>
              </w:rPr>
              <w:t>1</w:t>
            </w:r>
          </w:p>
        </w:tc>
        <w:tc>
          <w:tcPr>
            <w:tcW w:w="6454" w:type="dxa"/>
            <w:tcBorders>
              <w:top w:val="single" w:color="auto" w:sz="4" w:space="0"/>
              <w:left w:val="nil"/>
              <w:bottom w:val="single" w:color="auto" w:sz="4" w:space="0"/>
              <w:right w:val="single" w:color="auto" w:sz="4" w:space="0"/>
            </w:tcBorders>
            <w:vAlign w:val="center"/>
          </w:tcPr>
          <w:p w14:paraId="5814C9C6">
            <w:pPr>
              <w:pStyle w:val="28"/>
              <w:ind w:firstLine="480"/>
              <w:jc w:val="center"/>
              <w:rPr>
                <w:rFonts w:ascii="仿宋" w:hAnsi="仿宋" w:eastAsia="仿宋" w:cstheme="minorBidi"/>
                <w:kern w:val="2"/>
              </w:rPr>
            </w:pPr>
          </w:p>
        </w:tc>
      </w:tr>
      <w:tr w14:paraId="6273F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876" w:type="dxa"/>
            <w:tcBorders>
              <w:top w:val="single" w:color="auto" w:sz="4" w:space="0"/>
              <w:left w:val="single" w:color="auto" w:sz="4" w:space="0"/>
              <w:bottom w:val="single" w:color="auto" w:sz="4" w:space="0"/>
              <w:right w:val="single" w:color="auto" w:sz="4" w:space="0"/>
            </w:tcBorders>
            <w:vAlign w:val="center"/>
          </w:tcPr>
          <w:p w14:paraId="57E89936">
            <w:pPr>
              <w:pStyle w:val="28"/>
              <w:jc w:val="center"/>
              <w:rPr>
                <w:rFonts w:ascii="仿宋" w:hAnsi="仿宋" w:eastAsia="仿宋" w:cstheme="minorBidi"/>
                <w:kern w:val="2"/>
              </w:rPr>
            </w:pPr>
            <w:r>
              <w:rPr>
                <w:rFonts w:hint="eastAsia" w:ascii="仿宋" w:hAnsi="仿宋" w:eastAsia="仿宋" w:cstheme="minorBidi"/>
                <w:kern w:val="2"/>
              </w:rPr>
              <w:t>2</w:t>
            </w:r>
          </w:p>
        </w:tc>
        <w:tc>
          <w:tcPr>
            <w:tcW w:w="6454" w:type="dxa"/>
            <w:tcBorders>
              <w:top w:val="single" w:color="auto" w:sz="4" w:space="0"/>
              <w:left w:val="nil"/>
              <w:bottom w:val="single" w:color="auto" w:sz="4" w:space="0"/>
              <w:right w:val="single" w:color="auto" w:sz="4" w:space="0"/>
            </w:tcBorders>
            <w:vAlign w:val="center"/>
          </w:tcPr>
          <w:p w14:paraId="1A89EB12">
            <w:pPr>
              <w:pStyle w:val="28"/>
              <w:ind w:firstLine="480"/>
              <w:jc w:val="center"/>
              <w:rPr>
                <w:rFonts w:ascii="仿宋" w:hAnsi="仿宋" w:eastAsia="仿宋" w:cstheme="minorBidi"/>
                <w:kern w:val="2"/>
              </w:rPr>
            </w:pPr>
          </w:p>
        </w:tc>
      </w:tr>
      <w:tr w14:paraId="3F77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tcBorders>
              <w:top w:val="single" w:color="auto" w:sz="4" w:space="0"/>
              <w:left w:val="single" w:color="auto" w:sz="4" w:space="0"/>
              <w:bottom w:val="single" w:color="auto" w:sz="4" w:space="0"/>
              <w:right w:val="single" w:color="auto" w:sz="4" w:space="0"/>
            </w:tcBorders>
            <w:vAlign w:val="center"/>
          </w:tcPr>
          <w:p w14:paraId="0E1DB5AB">
            <w:pPr>
              <w:pStyle w:val="28"/>
              <w:jc w:val="center"/>
              <w:rPr>
                <w:rFonts w:ascii="仿宋" w:hAnsi="仿宋" w:eastAsia="仿宋" w:cstheme="minorBidi"/>
                <w:kern w:val="2"/>
              </w:rPr>
            </w:pPr>
            <w:r>
              <w:rPr>
                <w:rFonts w:hint="eastAsia" w:ascii="仿宋" w:hAnsi="仿宋" w:eastAsia="仿宋" w:cstheme="minorBidi"/>
                <w:kern w:val="2"/>
              </w:rPr>
              <w:t>3</w:t>
            </w:r>
          </w:p>
        </w:tc>
        <w:tc>
          <w:tcPr>
            <w:tcW w:w="6454" w:type="dxa"/>
            <w:tcBorders>
              <w:top w:val="single" w:color="auto" w:sz="4" w:space="0"/>
              <w:left w:val="nil"/>
              <w:bottom w:val="single" w:color="auto" w:sz="4" w:space="0"/>
              <w:right w:val="single" w:color="auto" w:sz="4" w:space="0"/>
            </w:tcBorders>
            <w:vAlign w:val="center"/>
          </w:tcPr>
          <w:p w14:paraId="0DF7B238">
            <w:pPr>
              <w:pStyle w:val="28"/>
              <w:ind w:firstLine="480"/>
              <w:jc w:val="center"/>
              <w:rPr>
                <w:rFonts w:ascii="仿宋" w:hAnsi="仿宋" w:eastAsia="仿宋" w:cstheme="minorBidi"/>
                <w:kern w:val="2"/>
              </w:rPr>
            </w:pPr>
          </w:p>
        </w:tc>
      </w:tr>
      <w:tr w14:paraId="65B7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tcBorders>
              <w:top w:val="single" w:color="auto" w:sz="4" w:space="0"/>
              <w:left w:val="single" w:color="auto" w:sz="4" w:space="0"/>
              <w:bottom w:val="single" w:color="auto" w:sz="4" w:space="0"/>
              <w:right w:val="single" w:color="auto" w:sz="4" w:space="0"/>
            </w:tcBorders>
            <w:vAlign w:val="center"/>
          </w:tcPr>
          <w:p w14:paraId="6C44BC88">
            <w:pPr>
              <w:pStyle w:val="28"/>
              <w:jc w:val="center"/>
              <w:rPr>
                <w:rFonts w:ascii="仿宋" w:hAnsi="仿宋" w:eastAsia="仿宋" w:cstheme="minorBidi"/>
                <w:kern w:val="2"/>
              </w:rPr>
            </w:pPr>
            <w:r>
              <w:rPr>
                <w:rFonts w:hint="eastAsia" w:ascii="仿宋" w:hAnsi="仿宋" w:eastAsia="仿宋" w:cstheme="minorBidi"/>
                <w:kern w:val="2"/>
              </w:rPr>
              <w:t>4</w:t>
            </w:r>
          </w:p>
        </w:tc>
        <w:tc>
          <w:tcPr>
            <w:tcW w:w="6454" w:type="dxa"/>
            <w:tcBorders>
              <w:top w:val="single" w:color="auto" w:sz="4" w:space="0"/>
              <w:left w:val="nil"/>
              <w:bottom w:val="single" w:color="auto" w:sz="4" w:space="0"/>
              <w:right w:val="single" w:color="auto" w:sz="4" w:space="0"/>
            </w:tcBorders>
            <w:vAlign w:val="center"/>
          </w:tcPr>
          <w:p w14:paraId="2FEBDF52">
            <w:pPr>
              <w:pStyle w:val="28"/>
              <w:ind w:firstLine="480"/>
              <w:jc w:val="center"/>
              <w:rPr>
                <w:rFonts w:ascii="仿宋" w:hAnsi="仿宋" w:eastAsia="仿宋" w:cstheme="minorBidi"/>
                <w:kern w:val="2"/>
              </w:rPr>
            </w:pPr>
          </w:p>
        </w:tc>
      </w:tr>
      <w:tr w14:paraId="70EA6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tcBorders>
              <w:top w:val="single" w:color="auto" w:sz="4" w:space="0"/>
              <w:left w:val="single" w:color="auto" w:sz="4" w:space="0"/>
              <w:bottom w:val="single" w:color="auto" w:sz="4" w:space="0"/>
              <w:right w:val="single" w:color="auto" w:sz="4" w:space="0"/>
            </w:tcBorders>
            <w:vAlign w:val="center"/>
          </w:tcPr>
          <w:p w14:paraId="441C7DCB">
            <w:pPr>
              <w:pStyle w:val="28"/>
              <w:jc w:val="center"/>
              <w:rPr>
                <w:rFonts w:ascii="仿宋" w:hAnsi="仿宋" w:eastAsia="仿宋" w:cstheme="minorBidi"/>
                <w:kern w:val="2"/>
              </w:rPr>
            </w:pPr>
            <w:r>
              <w:rPr>
                <w:rFonts w:hint="eastAsia" w:ascii="仿宋" w:hAnsi="仿宋" w:eastAsia="仿宋" w:cstheme="minorBidi"/>
                <w:kern w:val="2"/>
              </w:rPr>
              <w:t>5</w:t>
            </w:r>
          </w:p>
        </w:tc>
        <w:tc>
          <w:tcPr>
            <w:tcW w:w="6454" w:type="dxa"/>
            <w:tcBorders>
              <w:top w:val="single" w:color="auto" w:sz="4" w:space="0"/>
              <w:left w:val="nil"/>
              <w:bottom w:val="single" w:color="auto" w:sz="4" w:space="0"/>
              <w:right w:val="single" w:color="auto" w:sz="4" w:space="0"/>
            </w:tcBorders>
            <w:vAlign w:val="center"/>
          </w:tcPr>
          <w:p w14:paraId="44A201BA">
            <w:pPr>
              <w:pStyle w:val="28"/>
              <w:ind w:firstLine="480"/>
              <w:jc w:val="center"/>
              <w:rPr>
                <w:rFonts w:ascii="仿宋" w:hAnsi="仿宋" w:eastAsia="仿宋" w:cstheme="minorBidi"/>
                <w:kern w:val="2"/>
              </w:rPr>
            </w:pPr>
          </w:p>
        </w:tc>
      </w:tr>
    </w:tbl>
    <w:p w14:paraId="1443DDE9">
      <w:pPr>
        <w:spacing w:line="360" w:lineRule="auto"/>
        <w:ind w:firstLine="480" w:firstLineChars="200"/>
        <w:rPr>
          <w:rFonts w:ascii="仿宋" w:hAnsi="仿宋" w:eastAsia="仿宋"/>
          <w:szCs w:val="21"/>
        </w:rPr>
      </w:pPr>
      <w:r>
        <w:rPr>
          <w:rFonts w:ascii="仿宋" w:hAnsi="仿宋" w:eastAsia="仿宋"/>
          <w:sz w:val="24"/>
        </w:rPr>
        <w:t>3</w:t>
      </w:r>
      <w:r>
        <w:rPr>
          <w:rFonts w:hint="eastAsia" w:ascii="仿宋" w:hAnsi="仿宋" w:eastAsia="仿宋"/>
          <w:sz w:val="24"/>
        </w:rPr>
        <w:t>.响应供应商认为有必要提供的其他材料</w:t>
      </w:r>
      <w:bookmarkEnd w:id="14"/>
      <w:bookmarkEnd w:id="15"/>
      <w:bookmarkEnd w:id="16"/>
      <w:r>
        <w:rPr>
          <w:rFonts w:hint="eastAsia" w:ascii="仿宋" w:hAnsi="仿宋" w:eastAsia="仿宋"/>
          <w:sz w:val="24"/>
        </w:rPr>
        <w:t>。</w:t>
      </w:r>
      <w:r>
        <w:rPr>
          <w:rFonts w:ascii="仿宋" w:hAnsi="仿宋" w:eastAsia="仿宋"/>
          <w:szCs w:val="21"/>
        </w:rPr>
        <w:br w:type="page"/>
      </w:r>
    </w:p>
    <w:p w14:paraId="413366AA">
      <w:pPr>
        <w:pStyle w:val="2"/>
        <w:adjustRightInd w:val="0"/>
        <w:snapToGrid w:val="0"/>
        <w:spacing w:before="0" w:after="0" w:line="360" w:lineRule="auto"/>
        <w:ind w:left="210" w:leftChars="100" w:right="210" w:rightChars="100"/>
        <w:jc w:val="center"/>
        <w:rPr>
          <w:rFonts w:ascii="仿宋" w:hAnsi="仿宋" w:eastAsia="仿宋"/>
          <w:sz w:val="28"/>
        </w:rPr>
      </w:pPr>
      <w:r>
        <w:rPr>
          <w:rFonts w:hint="eastAsia" w:eastAsia="仿宋"/>
          <w:sz w:val="28"/>
        </w:rPr>
        <w:t>第</w:t>
      </w:r>
      <w:r>
        <w:rPr>
          <w:rFonts w:hint="eastAsia" w:ascii="仿宋" w:hAnsi="仿宋" w:eastAsia="仿宋"/>
          <w:sz w:val="28"/>
        </w:rPr>
        <w:t>四</w:t>
      </w:r>
      <w:r>
        <w:rPr>
          <w:rFonts w:hint="eastAsia" w:eastAsia="仿宋"/>
          <w:sz w:val="28"/>
        </w:rPr>
        <w:t>卷</w:t>
      </w:r>
      <w:r>
        <w:rPr>
          <w:rFonts w:hint="eastAsia" w:ascii="仿宋" w:hAnsi="仿宋" w:eastAsia="仿宋"/>
          <w:sz w:val="28"/>
        </w:rPr>
        <w:t xml:space="preserve"> 拟签订合同条款及内容</w:t>
      </w:r>
    </w:p>
    <w:p w14:paraId="17D30D41">
      <w:pPr>
        <w:jc w:val="center"/>
      </w:pPr>
    </w:p>
    <w:p w14:paraId="17D3372A">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楷体" w:hAnsi="楷体" w:eastAsia="楷体" w:cs="楷体"/>
          <w:sz w:val="24"/>
          <w:szCs w:val="24"/>
        </w:rPr>
      </w:pPr>
      <w:r>
        <w:rPr>
          <w:rFonts w:hint="eastAsia" w:ascii="楷体" w:hAnsi="楷体" w:eastAsia="楷体" w:cs="楷体"/>
          <w:b/>
          <w:bCs/>
          <w:sz w:val="24"/>
          <w:szCs w:val="24"/>
          <w:lang w:val="en-US" w:eastAsia="zh-CN"/>
        </w:rPr>
        <w:t xml:space="preserve">第一条 </w:t>
      </w:r>
      <w:r>
        <w:rPr>
          <w:rFonts w:hint="eastAsia" w:ascii="楷体" w:hAnsi="楷体" w:eastAsia="楷体" w:cs="楷体"/>
          <w:b/>
          <w:bCs/>
          <w:sz w:val="24"/>
          <w:szCs w:val="24"/>
        </w:rPr>
        <w:t>委托的服务项目</w:t>
      </w:r>
    </w:p>
    <w:p w14:paraId="3FA22A3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甲方为进一步加强气体流量计产品的计量管理,为燃气用户提供优质服务,计量器具量值准确并符合《中华人民共和国计量法》、《中华人民共和国进口计量器具监督管理办法》等法律、法规的要求，特将计量器具清洗、维护、标定代检、维修等工作委托给乙方，乙方须交付给甲方具有国家法定资质单位出具的检定证书。</w:t>
      </w:r>
    </w:p>
    <w:p w14:paraId="688CE1BE">
      <w:pPr>
        <w:jc w:val="both"/>
      </w:pPr>
    </w:p>
    <w:bookmarkEnd w:id="0"/>
    <w:p w14:paraId="5785FE03">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楷体" w:hAnsi="楷体" w:eastAsia="楷体" w:cs="楷体"/>
          <w:b/>
          <w:bCs/>
          <w:sz w:val="24"/>
          <w:szCs w:val="24"/>
        </w:rPr>
      </w:pPr>
      <w:bookmarkStart w:id="19" w:name="_Toc186288223"/>
      <w:bookmarkStart w:id="20" w:name="_Toc186191379"/>
      <w:r>
        <w:rPr>
          <w:rFonts w:hint="eastAsia" w:ascii="楷体" w:hAnsi="楷体" w:eastAsia="楷体" w:cs="楷体"/>
          <w:b/>
          <w:bCs/>
          <w:sz w:val="24"/>
          <w:szCs w:val="24"/>
          <w:lang w:val="en-US" w:eastAsia="zh-CN"/>
        </w:rPr>
        <w:t xml:space="preserve">第二条 </w:t>
      </w:r>
      <w:r>
        <w:rPr>
          <w:rFonts w:hint="eastAsia" w:ascii="楷体" w:hAnsi="楷体" w:eastAsia="楷体" w:cs="楷体"/>
          <w:b/>
          <w:bCs/>
          <w:sz w:val="24"/>
          <w:szCs w:val="24"/>
        </w:rPr>
        <w:t>工作要求</w:t>
      </w:r>
    </w:p>
    <w:p w14:paraId="0D25412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清洗维护标定代检</w:t>
      </w:r>
    </w:p>
    <w:p w14:paraId="56C65AC7">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1</w:t>
      </w:r>
      <w:r>
        <w:rPr>
          <w:rFonts w:hint="eastAsia" w:ascii="楷体" w:hAnsi="楷体" w:eastAsia="楷体" w:cs="楷体"/>
          <w:sz w:val="24"/>
          <w:szCs w:val="24"/>
          <w:lang w:eastAsia="zh-CN"/>
        </w:rPr>
        <w:t>）</w:t>
      </w:r>
      <w:r>
        <w:rPr>
          <w:rFonts w:hint="eastAsia" w:ascii="楷体" w:hAnsi="楷体" w:eastAsia="楷体" w:cs="楷体"/>
          <w:sz w:val="24"/>
          <w:szCs w:val="24"/>
        </w:rPr>
        <w:t>清洗维护标定代检内容包括：</w:t>
      </w:r>
    </w:p>
    <w:p w14:paraId="43BB6AE1">
      <w:pPr>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①</w:t>
      </w:r>
      <w:r>
        <w:rPr>
          <w:rFonts w:hint="eastAsia" w:ascii="楷体" w:hAnsi="楷体" w:eastAsia="楷体" w:cs="楷体"/>
          <w:sz w:val="24"/>
          <w:szCs w:val="24"/>
        </w:rPr>
        <w:t>清洗表内测量芯，叶轮，整流器等处的灰尘，杂质，污物等；</w:t>
      </w:r>
    </w:p>
    <w:p w14:paraId="4B4F7965">
      <w:pPr>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②</w:t>
      </w:r>
      <w:r>
        <w:rPr>
          <w:rFonts w:hint="eastAsia" w:ascii="楷体" w:hAnsi="楷体" w:eastAsia="楷体" w:cs="楷体"/>
          <w:sz w:val="24"/>
          <w:szCs w:val="24"/>
        </w:rPr>
        <w:t>检查机械计数器及磁性耦合件，各关键部位轴承等；</w:t>
      </w:r>
    </w:p>
    <w:p w14:paraId="03433A95">
      <w:pPr>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③</w:t>
      </w:r>
      <w:r>
        <w:rPr>
          <w:rFonts w:hint="eastAsia" w:ascii="楷体" w:hAnsi="楷体" w:eastAsia="楷体" w:cs="楷体"/>
          <w:sz w:val="24"/>
          <w:szCs w:val="24"/>
        </w:rPr>
        <w:t>表具的标定与代检；</w:t>
      </w:r>
    </w:p>
    <w:p w14:paraId="1BC63DB9">
      <w:pPr>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④</w:t>
      </w:r>
      <w:r>
        <w:rPr>
          <w:rFonts w:hint="eastAsia" w:ascii="楷体" w:hAnsi="楷体" w:eastAsia="楷体" w:cs="楷体"/>
          <w:sz w:val="24"/>
          <w:szCs w:val="24"/>
        </w:rPr>
        <w:t>全套清洗完毕后将流量计内各部件紧固到位。</w:t>
      </w:r>
    </w:p>
    <w:p w14:paraId="63EEE59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2</w:t>
      </w:r>
      <w:r>
        <w:rPr>
          <w:rFonts w:hint="eastAsia" w:ascii="楷体" w:hAnsi="楷体" w:eastAsia="楷体" w:cs="楷体"/>
          <w:sz w:val="24"/>
          <w:szCs w:val="24"/>
          <w:lang w:eastAsia="zh-CN"/>
        </w:rPr>
        <w:t>）</w:t>
      </w:r>
      <w:r>
        <w:rPr>
          <w:rFonts w:hint="eastAsia" w:ascii="楷体" w:hAnsi="楷体" w:eastAsia="楷体" w:cs="楷体"/>
          <w:sz w:val="24"/>
          <w:szCs w:val="24"/>
        </w:rPr>
        <w:t>乙方接到甲方货物后，应于</w:t>
      </w:r>
      <w:r>
        <w:rPr>
          <w:rFonts w:hint="eastAsia" w:ascii="楷体" w:hAnsi="楷体" w:eastAsia="楷体" w:cs="楷体"/>
          <w:sz w:val="24"/>
          <w:szCs w:val="24"/>
          <w:lang w:val="en-US" w:eastAsia="zh-CN"/>
        </w:rPr>
        <w:t>15</w:t>
      </w:r>
      <w:r>
        <w:rPr>
          <w:rFonts w:hint="eastAsia" w:ascii="楷体" w:hAnsi="楷体" w:eastAsia="楷体" w:cs="楷体"/>
          <w:sz w:val="24"/>
          <w:szCs w:val="24"/>
        </w:rPr>
        <w:t>天内完成清洗维护标定代检（含更换甲方指定的零配件）等工作返还至甲方指定位置，同步提供检定证书，甲方承担全部运输费用；</w:t>
      </w:r>
    </w:p>
    <w:p w14:paraId="17755BC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3</w:t>
      </w:r>
      <w:r>
        <w:rPr>
          <w:rFonts w:hint="eastAsia" w:ascii="楷体" w:hAnsi="楷体" w:eastAsia="楷体" w:cs="楷体"/>
          <w:sz w:val="24"/>
          <w:szCs w:val="24"/>
          <w:lang w:eastAsia="zh-CN"/>
        </w:rPr>
        <w:t>）</w:t>
      </w:r>
      <w:r>
        <w:rPr>
          <w:rFonts w:hint="eastAsia" w:ascii="楷体" w:hAnsi="楷体" w:eastAsia="楷体" w:cs="楷体"/>
          <w:sz w:val="24"/>
          <w:szCs w:val="24"/>
        </w:rPr>
        <w:t>清洗维护标定代检过程中如需更换零部件时应通知甲方，甲方确认更换后方可实施；</w:t>
      </w:r>
    </w:p>
    <w:p w14:paraId="42B3FDE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4</w:t>
      </w:r>
      <w:r>
        <w:rPr>
          <w:rFonts w:hint="eastAsia" w:ascii="楷体" w:hAnsi="楷体" w:eastAsia="楷体" w:cs="楷体"/>
          <w:sz w:val="24"/>
          <w:szCs w:val="24"/>
          <w:lang w:eastAsia="zh-CN"/>
        </w:rPr>
        <w:t>）</w:t>
      </w:r>
      <w:r>
        <w:rPr>
          <w:rFonts w:hint="eastAsia" w:ascii="楷体" w:hAnsi="楷体" w:eastAsia="楷体" w:cs="楷体"/>
          <w:sz w:val="24"/>
          <w:szCs w:val="24"/>
        </w:rPr>
        <w:t>用于流量计校准的标准装置应按国家计量法律法规要求进行管理，并出具有效的合格证书且随货同行；</w:t>
      </w:r>
    </w:p>
    <w:p w14:paraId="0C535FF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5</w:t>
      </w:r>
      <w:r>
        <w:rPr>
          <w:rFonts w:hint="eastAsia" w:ascii="楷体" w:hAnsi="楷体" w:eastAsia="楷体" w:cs="楷体"/>
          <w:sz w:val="24"/>
          <w:szCs w:val="24"/>
          <w:lang w:eastAsia="zh-CN"/>
        </w:rPr>
        <w:t>）</w:t>
      </w:r>
      <w:r>
        <w:rPr>
          <w:rFonts w:hint="eastAsia" w:ascii="楷体" w:hAnsi="楷体" w:eastAsia="楷体" w:cs="楷体"/>
          <w:sz w:val="24"/>
          <w:szCs w:val="24"/>
        </w:rPr>
        <w:t>更换的旧零配件需定期返还至甲方；</w:t>
      </w:r>
    </w:p>
    <w:p w14:paraId="68886B3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6</w:t>
      </w:r>
      <w:r>
        <w:rPr>
          <w:rFonts w:hint="eastAsia" w:ascii="楷体" w:hAnsi="楷体" w:eastAsia="楷体" w:cs="楷体"/>
          <w:sz w:val="24"/>
          <w:szCs w:val="24"/>
          <w:lang w:eastAsia="zh-CN"/>
        </w:rPr>
        <w:t>）</w:t>
      </w:r>
      <w:r>
        <w:rPr>
          <w:rFonts w:hint="eastAsia" w:ascii="楷体" w:hAnsi="楷体" w:eastAsia="楷体" w:cs="楷体"/>
          <w:sz w:val="24"/>
          <w:szCs w:val="24"/>
        </w:rPr>
        <w:t>清洗维护及检定过程需留有影像资料并定期备案至甲方。</w:t>
      </w:r>
    </w:p>
    <w:p w14:paraId="2FCA650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2、</w:t>
      </w:r>
      <w:r>
        <w:rPr>
          <w:rFonts w:hint="eastAsia" w:ascii="楷体" w:hAnsi="楷体" w:eastAsia="楷体" w:cs="楷体"/>
          <w:sz w:val="24"/>
          <w:szCs w:val="24"/>
        </w:rPr>
        <w:t>故障维修</w:t>
      </w:r>
    </w:p>
    <w:p w14:paraId="4E6F60F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1</w:t>
      </w:r>
      <w:r>
        <w:rPr>
          <w:rFonts w:hint="eastAsia" w:ascii="楷体" w:hAnsi="楷体" w:eastAsia="楷体" w:cs="楷体"/>
          <w:sz w:val="24"/>
          <w:szCs w:val="24"/>
          <w:lang w:eastAsia="zh-CN"/>
        </w:rPr>
        <w:t>）</w:t>
      </w:r>
      <w:r>
        <w:rPr>
          <w:rFonts w:hint="eastAsia" w:ascii="楷体" w:hAnsi="楷体" w:eastAsia="楷体" w:cs="楷体"/>
          <w:sz w:val="24"/>
          <w:szCs w:val="24"/>
        </w:rPr>
        <w:t>故障维修内容包括：</w:t>
      </w:r>
    </w:p>
    <w:p w14:paraId="6D91B2A7">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①</w:t>
      </w:r>
      <w:r>
        <w:rPr>
          <w:rFonts w:hint="eastAsia" w:ascii="楷体" w:hAnsi="楷体" w:eastAsia="楷体" w:cs="楷体"/>
          <w:sz w:val="24"/>
          <w:szCs w:val="24"/>
        </w:rPr>
        <w:t>流量计的准确度检查；</w:t>
      </w:r>
    </w:p>
    <w:p w14:paraId="2B27691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②</w:t>
      </w:r>
      <w:r>
        <w:rPr>
          <w:rFonts w:hint="eastAsia" w:ascii="楷体" w:hAnsi="楷体" w:eastAsia="楷体" w:cs="楷体"/>
          <w:sz w:val="24"/>
          <w:szCs w:val="24"/>
        </w:rPr>
        <w:t>流量计的零部件更换；</w:t>
      </w:r>
    </w:p>
    <w:p w14:paraId="6D97F32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val="en-US" w:eastAsia="zh-CN"/>
        </w:rPr>
        <w:t>③</w:t>
      </w:r>
      <w:r>
        <w:rPr>
          <w:rFonts w:hint="eastAsia" w:ascii="楷体" w:hAnsi="楷体" w:eastAsia="楷体" w:cs="楷体"/>
          <w:sz w:val="24"/>
          <w:szCs w:val="24"/>
        </w:rPr>
        <w:t>流量计的清洗；</w:t>
      </w:r>
    </w:p>
    <w:p w14:paraId="316C62A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rPr>
        <w:t></w:t>
      </w:r>
      <w:r>
        <w:rPr>
          <w:rFonts w:hint="eastAsia" w:ascii="楷体" w:hAnsi="楷体" w:eastAsia="楷体" w:cs="楷体"/>
          <w:sz w:val="24"/>
          <w:szCs w:val="24"/>
          <w:lang w:val="en-US" w:eastAsia="zh-CN"/>
        </w:rPr>
        <w:t>④</w:t>
      </w:r>
      <w:r>
        <w:rPr>
          <w:rFonts w:hint="eastAsia" w:ascii="楷体" w:hAnsi="楷体" w:eastAsia="楷体" w:cs="楷体"/>
          <w:sz w:val="24"/>
          <w:szCs w:val="24"/>
        </w:rPr>
        <w:t>喷漆翻新（甲方提出）</w:t>
      </w:r>
      <w:r>
        <w:rPr>
          <w:rFonts w:hint="eastAsia" w:ascii="楷体" w:hAnsi="楷体" w:eastAsia="楷体" w:cs="楷体"/>
          <w:sz w:val="24"/>
          <w:szCs w:val="24"/>
          <w:lang w:eastAsia="zh-CN"/>
        </w:rPr>
        <w:t>。</w:t>
      </w:r>
    </w:p>
    <w:p w14:paraId="464A26C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2</w:t>
      </w:r>
      <w:r>
        <w:rPr>
          <w:rFonts w:hint="eastAsia" w:ascii="楷体" w:hAnsi="楷体" w:eastAsia="楷体" w:cs="楷体"/>
          <w:sz w:val="24"/>
          <w:szCs w:val="24"/>
          <w:lang w:eastAsia="zh-CN"/>
        </w:rPr>
        <w:t>）</w:t>
      </w:r>
      <w:r>
        <w:rPr>
          <w:rFonts w:hint="eastAsia" w:ascii="楷体" w:hAnsi="楷体" w:eastAsia="楷体" w:cs="楷体"/>
          <w:sz w:val="24"/>
          <w:szCs w:val="24"/>
        </w:rPr>
        <w:t>乙方接到甲方货物后，得到甲方确认修理答复后7个工作日内将甲方送修的流量计修理完毕，并出具有效的合格证书和更换或维修的零部件清单且随货同行，配件费用由甲方支付；</w:t>
      </w:r>
    </w:p>
    <w:p w14:paraId="3045ED7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3</w:t>
      </w:r>
      <w:r>
        <w:rPr>
          <w:rFonts w:hint="eastAsia" w:ascii="楷体" w:hAnsi="楷体" w:eastAsia="楷体" w:cs="楷体"/>
          <w:sz w:val="24"/>
          <w:szCs w:val="24"/>
          <w:lang w:eastAsia="zh-CN"/>
        </w:rPr>
        <w:t>）</w:t>
      </w:r>
      <w:r>
        <w:rPr>
          <w:rFonts w:hint="eastAsia" w:ascii="楷体" w:hAnsi="楷体" w:eastAsia="楷体" w:cs="楷体"/>
          <w:sz w:val="24"/>
          <w:szCs w:val="24"/>
        </w:rPr>
        <w:t>限于乙方目前的生产和技术能力，上述的维修周期仅限于DN150口径以内（含DN150）的流量计，其他修理产品的修理周期则须视具体情况而定，但不超过30日。</w:t>
      </w:r>
    </w:p>
    <w:p w14:paraId="2CB4E11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4</w:t>
      </w:r>
      <w:r>
        <w:rPr>
          <w:rFonts w:hint="eastAsia" w:ascii="楷体" w:hAnsi="楷体" w:eastAsia="楷体" w:cs="楷体"/>
          <w:sz w:val="24"/>
          <w:szCs w:val="24"/>
          <w:lang w:eastAsia="zh-CN"/>
        </w:rPr>
        <w:t>）</w:t>
      </w:r>
      <w:r>
        <w:rPr>
          <w:rFonts w:hint="eastAsia" w:ascii="楷体" w:hAnsi="楷体" w:eastAsia="楷体" w:cs="楷体"/>
          <w:sz w:val="24"/>
          <w:szCs w:val="24"/>
        </w:rPr>
        <w:t>甲方流量计（DN250—DN300）如无法在短时间内修理完毕，在紧急情况下，乙方可与工厂协商，提供相应的备表供甲方在流量计维修周期内当备表使用。</w:t>
      </w:r>
    </w:p>
    <w:p w14:paraId="61BBF747">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楷体" w:hAnsi="楷体" w:eastAsia="楷体" w:cs="楷体"/>
          <w:b/>
          <w:bCs/>
          <w:sz w:val="24"/>
          <w:szCs w:val="24"/>
        </w:rPr>
      </w:pPr>
      <w:r>
        <w:rPr>
          <w:rFonts w:hint="eastAsia" w:ascii="楷体" w:hAnsi="楷体" w:eastAsia="楷体" w:cs="楷体"/>
          <w:b/>
          <w:bCs/>
          <w:sz w:val="24"/>
          <w:szCs w:val="24"/>
          <w:lang w:val="en-US" w:eastAsia="zh-CN"/>
        </w:rPr>
        <w:t xml:space="preserve">第三条 </w:t>
      </w:r>
      <w:r>
        <w:rPr>
          <w:rFonts w:hint="eastAsia" w:ascii="楷体" w:hAnsi="楷体" w:eastAsia="楷体" w:cs="楷体"/>
          <w:b/>
          <w:bCs/>
          <w:sz w:val="24"/>
          <w:szCs w:val="24"/>
        </w:rPr>
        <w:t>检查与考核</w:t>
      </w:r>
    </w:p>
    <w:p w14:paraId="6C799A7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乙方应保证充足的资源保障甲方委托事宜顺利进行，满足甲方对服务质量、时效等相关要求；</w:t>
      </w:r>
    </w:p>
    <w:p w14:paraId="74B77B9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2、</w:t>
      </w:r>
      <w:r>
        <w:rPr>
          <w:rFonts w:hint="eastAsia" w:ascii="楷体" w:hAnsi="楷体" w:eastAsia="楷体" w:cs="楷体"/>
          <w:sz w:val="24"/>
          <w:szCs w:val="24"/>
        </w:rPr>
        <w:t>乙方应严格按计划实施委托工作，不得借故拖延和推诿；</w:t>
      </w:r>
    </w:p>
    <w:p w14:paraId="19CEFF5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3</w:t>
      </w:r>
      <w:r>
        <w:rPr>
          <w:rFonts w:hint="eastAsia" w:ascii="楷体" w:hAnsi="楷体" w:eastAsia="楷体" w:cs="楷体"/>
          <w:sz w:val="24"/>
          <w:szCs w:val="24"/>
          <w:lang w:eastAsia="zh-CN"/>
        </w:rPr>
        <w:t>、</w:t>
      </w:r>
      <w:r>
        <w:rPr>
          <w:rFonts w:hint="eastAsia" w:ascii="楷体" w:hAnsi="楷体" w:eastAsia="楷体" w:cs="楷体"/>
          <w:sz w:val="24"/>
          <w:szCs w:val="24"/>
        </w:rPr>
        <w:t>乙方应依据检定规程、测试方法、校准方法或甲方要求实施检测工作；</w:t>
      </w:r>
    </w:p>
    <w:p w14:paraId="0D3A8D3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4</w:t>
      </w:r>
      <w:r>
        <w:rPr>
          <w:rFonts w:hint="eastAsia" w:ascii="楷体" w:hAnsi="楷体" w:eastAsia="楷体" w:cs="楷体"/>
          <w:sz w:val="24"/>
          <w:szCs w:val="24"/>
          <w:lang w:eastAsia="zh-CN"/>
        </w:rPr>
        <w:t>、</w:t>
      </w:r>
      <w:r>
        <w:rPr>
          <w:rFonts w:hint="eastAsia" w:ascii="楷体" w:hAnsi="楷体" w:eastAsia="楷体" w:cs="楷体"/>
          <w:sz w:val="24"/>
          <w:szCs w:val="24"/>
        </w:rPr>
        <w:t>清洗维护标定代检（含甲方指定的零配件更换）、故障维修工作每延期1天交付甲方的，扣减服务费200元/天；</w:t>
      </w:r>
    </w:p>
    <w:p w14:paraId="7FBC14A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5</w:t>
      </w:r>
      <w:r>
        <w:rPr>
          <w:rFonts w:hint="eastAsia" w:ascii="楷体" w:hAnsi="楷体" w:eastAsia="楷体" w:cs="楷体"/>
          <w:sz w:val="24"/>
          <w:szCs w:val="24"/>
          <w:lang w:eastAsia="zh-CN"/>
        </w:rPr>
        <w:t>、</w:t>
      </w:r>
      <w:r>
        <w:rPr>
          <w:rFonts w:hint="eastAsia" w:ascii="楷体" w:hAnsi="楷体" w:eastAsia="楷体" w:cs="楷体"/>
          <w:sz w:val="24"/>
          <w:szCs w:val="24"/>
        </w:rPr>
        <w:t>乙方在工作中有弄虚作假行为的，扣减服务费1000元/次，同一年度中出现两次，甲方有权解除合同；</w:t>
      </w:r>
    </w:p>
    <w:p w14:paraId="27D974C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6</w:t>
      </w:r>
      <w:r>
        <w:rPr>
          <w:rFonts w:hint="eastAsia" w:ascii="楷体" w:hAnsi="楷体" w:eastAsia="楷体" w:cs="楷体"/>
          <w:sz w:val="24"/>
          <w:szCs w:val="24"/>
          <w:lang w:eastAsia="zh-CN"/>
        </w:rPr>
        <w:t>、</w:t>
      </w:r>
      <w:r>
        <w:rPr>
          <w:rFonts w:hint="eastAsia" w:ascii="楷体" w:hAnsi="楷体" w:eastAsia="楷体" w:cs="楷体"/>
          <w:sz w:val="24"/>
          <w:szCs w:val="24"/>
        </w:rPr>
        <w:t>乙方在维修过程中，若操作不当，造成设备损坏，乙方负责修复，若产生严重后果，则应赔偿相应的经济损失。</w:t>
      </w:r>
    </w:p>
    <w:p w14:paraId="67149D21">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楷体" w:hAnsi="楷体" w:eastAsia="楷体" w:cs="楷体"/>
          <w:sz w:val="24"/>
          <w:szCs w:val="24"/>
        </w:rPr>
      </w:pPr>
      <w:r>
        <w:rPr>
          <w:rFonts w:hint="eastAsia" w:ascii="楷体" w:hAnsi="楷体" w:eastAsia="楷体" w:cs="楷体"/>
          <w:b/>
          <w:bCs/>
          <w:sz w:val="24"/>
          <w:szCs w:val="24"/>
          <w:lang w:val="en-US" w:eastAsia="zh-CN"/>
        </w:rPr>
        <w:t xml:space="preserve">第四条 </w:t>
      </w:r>
      <w:r>
        <w:rPr>
          <w:rFonts w:hint="eastAsia" w:ascii="楷体" w:hAnsi="楷体" w:eastAsia="楷体" w:cs="楷体"/>
          <w:b/>
          <w:bCs/>
          <w:sz w:val="24"/>
          <w:szCs w:val="24"/>
        </w:rPr>
        <w:t>合同周期</w:t>
      </w:r>
    </w:p>
    <w:p w14:paraId="64268BB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202</w:t>
      </w:r>
      <w:r>
        <w:rPr>
          <w:rFonts w:hint="eastAsia" w:ascii="楷体" w:hAnsi="楷体" w:eastAsia="楷体" w:cs="楷体"/>
          <w:sz w:val="24"/>
          <w:szCs w:val="24"/>
          <w:lang w:val="en-US" w:eastAsia="zh-CN"/>
        </w:rPr>
        <w:t>5</w:t>
      </w:r>
      <w:r>
        <w:rPr>
          <w:rFonts w:hint="eastAsia" w:ascii="楷体" w:hAnsi="楷体" w:eastAsia="楷体" w:cs="楷体"/>
          <w:sz w:val="24"/>
          <w:szCs w:val="24"/>
        </w:rPr>
        <w:t>年</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月</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日</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202</w:t>
      </w:r>
      <w:r>
        <w:rPr>
          <w:rFonts w:hint="eastAsia" w:ascii="楷体" w:hAnsi="楷体" w:eastAsia="楷体" w:cs="楷体"/>
          <w:sz w:val="24"/>
          <w:szCs w:val="24"/>
          <w:lang w:val="en-US" w:eastAsia="zh-CN"/>
        </w:rPr>
        <w:t>7</w:t>
      </w:r>
      <w:r>
        <w:rPr>
          <w:rFonts w:hint="eastAsia" w:ascii="楷体" w:hAnsi="楷体" w:eastAsia="楷体" w:cs="楷体"/>
          <w:sz w:val="24"/>
          <w:szCs w:val="24"/>
        </w:rPr>
        <w:t>年</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月</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日</w:t>
      </w:r>
    </w:p>
    <w:p w14:paraId="48E2CC55">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楷体" w:hAnsi="楷体" w:eastAsia="楷体" w:cs="楷体"/>
          <w:sz w:val="24"/>
          <w:szCs w:val="24"/>
        </w:rPr>
      </w:pPr>
      <w:r>
        <w:rPr>
          <w:rFonts w:hint="eastAsia" w:ascii="楷体" w:hAnsi="楷体" w:eastAsia="楷体" w:cs="楷体"/>
          <w:b/>
          <w:bCs/>
          <w:sz w:val="24"/>
          <w:szCs w:val="24"/>
          <w:lang w:val="en-US" w:eastAsia="zh-CN"/>
        </w:rPr>
        <w:t xml:space="preserve">第五条 </w:t>
      </w:r>
      <w:r>
        <w:rPr>
          <w:rFonts w:hint="eastAsia" w:ascii="楷体" w:hAnsi="楷体" w:eastAsia="楷体" w:cs="楷体"/>
          <w:b/>
          <w:bCs/>
          <w:sz w:val="24"/>
          <w:szCs w:val="24"/>
        </w:rPr>
        <w:t>结算方式</w:t>
      </w:r>
    </w:p>
    <w:p w14:paraId="13D0955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结算</w:t>
      </w:r>
    </w:p>
    <w:p w14:paraId="39FAE77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乙方提供已完成的维修单，并将甲方流量计的维修服务价格清单提供给甲方，按季度结算。</w:t>
      </w:r>
    </w:p>
    <w:p w14:paraId="29B2BA5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 w:hAnsi="楷体" w:eastAsia="楷体" w:cs="楷体"/>
          <w:sz w:val="24"/>
          <w:szCs w:val="24"/>
        </w:rPr>
      </w:pPr>
      <w:r>
        <w:rPr>
          <w:rFonts w:hint="eastAsia" w:ascii="楷体" w:hAnsi="楷体" w:eastAsia="楷体" w:cs="楷体"/>
          <w:sz w:val="24"/>
          <w:szCs w:val="24"/>
        </w:rPr>
        <w:t>清洗维护标定代检（增值税税率6%）</w:t>
      </w:r>
    </w:p>
    <w:p w14:paraId="3261AD9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 w:hAnsi="楷体" w:eastAsia="楷体" w:cs="楷体"/>
          <w:sz w:val="24"/>
          <w:szCs w:val="24"/>
        </w:rPr>
      </w:pPr>
      <w:r>
        <w:rPr>
          <w:rFonts w:hint="eastAsia" w:ascii="楷体" w:hAnsi="楷体" w:eastAsia="楷体" w:cs="楷体"/>
          <w:sz w:val="24"/>
          <w:szCs w:val="24"/>
        </w:rPr>
        <w:t>配件单项（增值税税率13%）</w:t>
      </w:r>
    </w:p>
    <w:p w14:paraId="67ADBFC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sz w:val="24"/>
          <w:szCs w:val="24"/>
          <w:lang w:eastAsia="zh-CN"/>
        </w:rPr>
        <w:t>、</w:t>
      </w:r>
      <w:r>
        <w:rPr>
          <w:rFonts w:hint="eastAsia" w:ascii="楷体" w:hAnsi="楷体" w:eastAsia="楷体" w:cs="楷体"/>
          <w:sz w:val="24"/>
          <w:szCs w:val="24"/>
        </w:rPr>
        <w:t>付款方式</w:t>
      </w:r>
    </w:p>
    <w:p w14:paraId="361CBBE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乙方提供增值税专用发票后,甲方按季度结算维修费用，将全款汇至乙方指定银行</w:t>
      </w:r>
      <w:r>
        <w:rPr>
          <w:rFonts w:hint="eastAsia" w:ascii="楷体" w:hAnsi="楷体" w:eastAsia="楷体" w:cs="楷体"/>
          <w:sz w:val="24"/>
          <w:szCs w:val="24"/>
          <w:lang w:val="en-US" w:eastAsia="zh-CN"/>
        </w:rPr>
        <w:t>账</w:t>
      </w:r>
      <w:r>
        <w:rPr>
          <w:rFonts w:hint="eastAsia" w:ascii="楷体" w:hAnsi="楷体" w:eastAsia="楷体" w:cs="楷体"/>
          <w:sz w:val="24"/>
          <w:szCs w:val="24"/>
        </w:rPr>
        <w:t>号。</w:t>
      </w:r>
    </w:p>
    <w:p w14:paraId="2E5C0E20">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楷体" w:hAnsi="楷体" w:eastAsia="楷体" w:cs="楷体"/>
          <w:sz w:val="24"/>
          <w:szCs w:val="24"/>
        </w:rPr>
      </w:pPr>
      <w:r>
        <w:rPr>
          <w:rFonts w:hint="eastAsia" w:ascii="楷体" w:hAnsi="楷体" w:eastAsia="楷体" w:cs="楷体"/>
          <w:b/>
          <w:bCs/>
          <w:sz w:val="24"/>
          <w:szCs w:val="24"/>
          <w:lang w:val="en-US" w:eastAsia="zh-CN"/>
        </w:rPr>
        <w:t>第</w:t>
      </w:r>
      <w:r>
        <w:rPr>
          <w:rFonts w:hint="eastAsia" w:ascii="楷体" w:hAnsi="楷体" w:eastAsia="楷体" w:cs="楷体"/>
          <w:b/>
          <w:bCs/>
          <w:sz w:val="24"/>
          <w:szCs w:val="24"/>
        </w:rPr>
        <w:t>六</w:t>
      </w:r>
      <w:r>
        <w:rPr>
          <w:rFonts w:hint="eastAsia" w:ascii="楷体" w:hAnsi="楷体" w:eastAsia="楷体" w:cs="楷体"/>
          <w:b/>
          <w:bCs/>
          <w:sz w:val="24"/>
          <w:szCs w:val="24"/>
          <w:lang w:val="en-US" w:eastAsia="zh-CN"/>
        </w:rPr>
        <w:t xml:space="preserve">条 </w:t>
      </w:r>
      <w:r>
        <w:rPr>
          <w:rFonts w:hint="eastAsia" w:ascii="楷体" w:hAnsi="楷体" w:eastAsia="楷体" w:cs="楷体"/>
          <w:b/>
          <w:bCs/>
          <w:sz w:val="24"/>
          <w:szCs w:val="24"/>
        </w:rPr>
        <w:t>保密条款</w:t>
      </w:r>
    </w:p>
    <w:p w14:paraId="2E837B1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乙方对甲方提供的客户信息资料等信息具有保密的义务，不得作为他用或提供给第三方，否则乙方应承担由此引发的所有相关的经济及法律责任。</w:t>
      </w:r>
    </w:p>
    <w:p w14:paraId="7E4B5E84">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楷体" w:hAnsi="楷体" w:eastAsia="楷体" w:cs="楷体"/>
          <w:b/>
          <w:bCs/>
          <w:sz w:val="24"/>
          <w:szCs w:val="24"/>
        </w:rPr>
      </w:pPr>
      <w:r>
        <w:rPr>
          <w:rFonts w:hint="eastAsia" w:ascii="楷体" w:hAnsi="楷体" w:eastAsia="楷体" w:cs="楷体"/>
          <w:b/>
          <w:bCs/>
          <w:sz w:val="24"/>
          <w:szCs w:val="24"/>
          <w:lang w:val="en-US" w:eastAsia="zh-CN"/>
        </w:rPr>
        <w:t xml:space="preserve">第七条 </w:t>
      </w:r>
      <w:r>
        <w:rPr>
          <w:rFonts w:hint="eastAsia" w:ascii="楷体" w:hAnsi="楷体" w:eastAsia="楷体" w:cs="楷体"/>
          <w:b/>
          <w:bCs/>
          <w:sz w:val="24"/>
          <w:szCs w:val="24"/>
        </w:rPr>
        <w:t>特别约定</w:t>
      </w:r>
    </w:p>
    <w:p w14:paraId="619F73A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该项目实施过程中，如遇华润燃气集团建立检测服务机构，可实现清洗维护标定检定业务的，甲方应服从统一管理；如在合同期内可提前一月与乙方协商终止协议，并不承担由此产生的任何损失。</w:t>
      </w:r>
    </w:p>
    <w:p w14:paraId="500FF799">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楷体" w:hAnsi="楷体" w:eastAsia="楷体" w:cs="楷体"/>
          <w:sz w:val="24"/>
          <w:szCs w:val="24"/>
        </w:rPr>
      </w:pPr>
      <w:r>
        <w:rPr>
          <w:rFonts w:hint="eastAsia" w:ascii="楷体" w:hAnsi="楷体" w:eastAsia="楷体" w:cs="楷体"/>
          <w:b/>
          <w:bCs/>
          <w:sz w:val="24"/>
          <w:szCs w:val="24"/>
          <w:lang w:val="en-US" w:eastAsia="zh-CN"/>
        </w:rPr>
        <w:t xml:space="preserve">第八条 </w:t>
      </w:r>
      <w:r>
        <w:rPr>
          <w:rFonts w:hint="eastAsia" w:ascii="楷体" w:hAnsi="楷体" w:eastAsia="楷体" w:cs="楷体"/>
          <w:b/>
          <w:bCs/>
          <w:sz w:val="24"/>
          <w:szCs w:val="24"/>
        </w:rPr>
        <w:t>协议的生效等其他</w:t>
      </w:r>
    </w:p>
    <w:p w14:paraId="0895957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协议经双方签字或盖章之日起生效，本合同一式肆份，甲乙双方各持贰份。</w:t>
      </w:r>
    </w:p>
    <w:p w14:paraId="09AB733D">
      <w:pPr>
        <w:pStyle w:val="3"/>
        <w:adjustRightInd w:val="0"/>
        <w:snapToGrid w:val="0"/>
        <w:spacing w:before="120" w:after="120" w:line="360" w:lineRule="auto"/>
        <w:jc w:val="left"/>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sz w:val="24"/>
          <w:szCs w:val="24"/>
          <w:lang w:eastAsia="zh-CN"/>
        </w:rPr>
        <w:t>、</w:t>
      </w:r>
      <w:r>
        <w:rPr>
          <w:rFonts w:hint="eastAsia" w:ascii="楷体" w:hAnsi="楷体" w:eastAsia="楷体" w:cs="楷体"/>
          <w:sz w:val="24"/>
          <w:szCs w:val="24"/>
        </w:rPr>
        <w:t>甲乙双方未尽事宜，应友好协商解决，如协商不成，可向甲方所在地人民法院起诉。</w:t>
      </w:r>
    </w:p>
    <w:p w14:paraId="6411BBC2">
      <w:pPr>
        <w:rPr>
          <w:rFonts w:hint="eastAsia" w:ascii="楷体" w:hAnsi="楷体" w:eastAsia="楷体" w:cs="楷体"/>
          <w:sz w:val="24"/>
          <w:szCs w:val="24"/>
        </w:rPr>
      </w:pPr>
    </w:p>
    <w:p w14:paraId="4E0BC917">
      <w:pPr>
        <w:pStyle w:val="3"/>
        <w:adjustRightInd w:val="0"/>
        <w:snapToGrid w:val="0"/>
        <w:spacing w:before="120" w:after="120" w:line="360" w:lineRule="auto"/>
        <w:jc w:val="left"/>
        <w:rPr>
          <w:rFonts w:ascii="仿宋" w:hAnsi="仿宋" w:eastAsia="仿宋"/>
          <w:sz w:val="24"/>
          <w:szCs w:val="24"/>
        </w:rPr>
      </w:pPr>
      <w:r>
        <w:rPr>
          <w:rFonts w:hint="eastAsia" w:ascii="仿宋" w:hAnsi="仿宋" w:eastAsia="仿宋"/>
          <w:sz w:val="24"/>
          <w:szCs w:val="24"/>
        </w:rPr>
        <w:t>附件1：廉洁合规承诺书</w:t>
      </w:r>
      <w:bookmarkEnd w:id="19"/>
      <w:bookmarkEnd w:id="20"/>
    </w:p>
    <w:p w14:paraId="2012264B">
      <w:pPr>
        <w:adjustRightInd w:val="0"/>
        <w:snapToGrid w:val="0"/>
        <w:spacing w:line="360" w:lineRule="auto"/>
        <w:ind w:firstLine="480" w:firstLineChars="200"/>
        <w:jc w:val="left"/>
        <w:rPr>
          <w:rFonts w:ascii="仿宋" w:hAnsi="仿宋" w:eastAsia="仿宋"/>
          <w:sz w:val="24"/>
        </w:rPr>
      </w:pPr>
      <w:bookmarkStart w:id="21" w:name="OLE_LINK5"/>
      <w:bookmarkStart w:id="22" w:name="OLE_LINK4"/>
      <w:r>
        <w:rPr>
          <w:rFonts w:hint="eastAsia" w:ascii="仿宋" w:hAnsi="仿宋" w:eastAsia="仿宋"/>
          <w:sz w:val="24"/>
        </w:rPr>
        <w:t>一、不向华润员工及其亲属和其他特定关系人赠送礼品、礼金、消费卡（券）、有价证券、股权、其他金融产品等财物。</w:t>
      </w:r>
    </w:p>
    <w:p w14:paraId="25F467C1">
      <w:pPr>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二、不向华润员工及其亲属和其他特定关系人出借钱款、住房、车辆等财物。</w:t>
      </w:r>
    </w:p>
    <w:p w14:paraId="00ACC4CF">
      <w:pPr>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三、不向华润员工及其亲属和其他特定关系人提供可能影响公正履职的宴请或者旅游、健身、娱乐等活动安排。</w:t>
      </w:r>
    </w:p>
    <w:p w14:paraId="7D40FBEB">
      <w:pPr>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四、不替华润员工及其亲属和其他特定关系人支付或报销任何费用。</w:t>
      </w:r>
    </w:p>
    <w:p w14:paraId="6B6E1E20">
      <w:pPr>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五、不替华润员工及其亲属和其他特定关系人代持股份。</w:t>
      </w:r>
    </w:p>
    <w:p w14:paraId="7705DFA2">
      <w:pPr>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六、不与华润员工或者其他单位和个人串通投标或者串通报价，不采取恶性竞争等不正当手段竞争业务。</w:t>
      </w:r>
    </w:p>
    <w:p w14:paraId="33C4A75C">
      <w:pPr>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七、不与华润员工就标底、其他供应商的响应文件等商业秘密及合同中的条款进行私下商谈或者达成默契。</w:t>
      </w:r>
    </w:p>
    <w:p w14:paraId="15BB0F66">
      <w:pPr>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八、不违法转包、分包项目。</w:t>
      </w:r>
    </w:p>
    <w:p w14:paraId="3B4BBAC7">
      <w:pPr>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九、严格执行合同约定，不弄虚作假。</w:t>
      </w:r>
    </w:p>
    <w:p w14:paraId="1DBDF2AF">
      <w:pPr>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十、如实向华润方通报本单位股东和员工与华润方存在亲属或者其他特定关系的情况。</w:t>
      </w:r>
    </w:p>
    <w:p w14:paraId="3DB3EF27">
      <w:pPr>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发现本单位人员有违反上述行为的，及时制止、批评教育；发现华润员工有索贿、受贿行为的，坚决拒绝，并向华润相关领导或纪检监察部门举报。</w:t>
      </w:r>
    </w:p>
    <w:p w14:paraId="174AA0D0">
      <w:pPr>
        <w:pStyle w:val="24"/>
        <w:adjustRightInd w:val="0"/>
        <w:snapToGrid w:val="0"/>
        <w:spacing w:line="360" w:lineRule="auto"/>
        <w:rPr>
          <w:rFonts w:ascii="仿宋" w:hAnsi="仿宋" w:eastAsia="仿宋" w:cs="Times New Roman"/>
          <w:kern w:val="2"/>
          <w:sz w:val="24"/>
        </w:rPr>
      </w:pPr>
    </w:p>
    <w:p w14:paraId="508BD922">
      <w:pPr>
        <w:pStyle w:val="24"/>
        <w:adjustRightInd w:val="0"/>
        <w:snapToGrid w:val="0"/>
        <w:spacing w:line="360" w:lineRule="auto"/>
        <w:rPr>
          <w:rFonts w:ascii="仿宋" w:hAnsi="仿宋" w:eastAsia="仿宋" w:cs="Times New Roman"/>
          <w:i/>
          <w:color w:val="FF0000"/>
          <w:kern w:val="2"/>
          <w:sz w:val="24"/>
        </w:rPr>
      </w:pPr>
      <w:r>
        <w:rPr>
          <w:rFonts w:hint="eastAsia" w:ascii="仿宋" w:hAnsi="仿宋" w:eastAsia="仿宋" w:cs="Times New Roman"/>
          <w:kern w:val="2"/>
          <w:sz w:val="24"/>
        </w:rPr>
        <w:t>举报电话：</w:t>
      </w:r>
    </w:p>
    <w:p w14:paraId="051B0FC4">
      <w:pPr>
        <w:pStyle w:val="24"/>
        <w:adjustRightInd w:val="0"/>
        <w:snapToGrid w:val="0"/>
        <w:spacing w:line="360" w:lineRule="auto"/>
        <w:rPr>
          <w:rFonts w:ascii="仿宋" w:hAnsi="仿宋" w:eastAsia="仿宋" w:cs="Times New Roman"/>
          <w:i/>
          <w:color w:val="FF0000"/>
          <w:kern w:val="2"/>
          <w:sz w:val="24"/>
        </w:rPr>
      </w:pPr>
      <w:r>
        <w:rPr>
          <w:rFonts w:hint="eastAsia" w:ascii="仿宋" w:hAnsi="仿宋" w:eastAsia="仿宋" w:cs="Times New Roman"/>
          <w:kern w:val="2"/>
          <w:sz w:val="24"/>
        </w:rPr>
        <w:t>举报邮箱：</w:t>
      </w:r>
    </w:p>
    <w:p w14:paraId="13CA837E">
      <w:pPr>
        <w:pStyle w:val="24"/>
        <w:adjustRightInd w:val="0"/>
        <w:snapToGrid w:val="0"/>
        <w:spacing w:line="360" w:lineRule="auto"/>
        <w:rPr>
          <w:rFonts w:ascii="仿宋" w:hAnsi="仿宋" w:eastAsia="仿宋" w:cs="Times New Roman"/>
          <w:kern w:val="2"/>
          <w:sz w:val="24"/>
        </w:rPr>
      </w:pPr>
    </w:p>
    <w:p w14:paraId="1AA04502">
      <w:pPr>
        <w:pStyle w:val="24"/>
        <w:adjustRightInd w:val="0"/>
        <w:snapToGrid w:val="0"/>
        <w:spacing w:line="360" w:lineRule="auto"/>
        <w:rPr>
          <w:rFonts w:ascii="仿宋" w:hAnsi="仿宋" w:eastAsia="仿宋" w:cs="Times New Roman"/>
          <w:kern w:val="2"/>
          <w:sz w:val="24"/>
        </w:rPr>
      </w:pPr>
      <w:r>
        <w:rPr>
          <w:rFonts w:hint="eastAsia" w:ascii="仿宋" w:hAnsi="仿宋" w:eastAsia="仿宋" w:cs="Times New Roman"/>
          <w:kern w:val="2"/>
          <w:sz w:val="24"/>
        </w:rPr>
        <w:t xml:space="preserve">单位名称（盖章）：                    </w:t>
      </w:r>
    </w:p>
    <w:p w14:paraId="0EEA6A95">
      <w:pPr>
        <w:pStyle w:val="24"/>
        <w:adjustRightInd w:val="0"/>
        <w:snapToGrid w:val="0"/>
        <w:spacing w:line="360" w:lineRule="auto"/>
        <w:rPr>
          <w:rFonts w:ascii="仿宋" w:hAnsi="仿宋" w:eastAsia="仿宋" w:cs="Times New Roman"/>
          <w:kern w:val="2"/>
          <w:sz w:val="24"/>
        </w:rPr>
      </w:pPr>
    </w:p>
    <w:p w14:paraId="22B01A1B">
      <w:pPr>
        <w:adjustRightInd w:val="0"/>
        <w:snapToGrid w:val="0"/>
        <w:spacing w:line="360" w:lineRule="auto"/>
        <w:rPr>
          <w:rFonts w:ascii="仿宋" w:hAnsi="仿宋" w:eastAsia="仿宋" w:cstheme="minorBidi"/>
          <w:sz w:val="24"/>
        </w:rPr>
      </w:pPr>
      <w:r>
        <w:rPr>
          <w:rFonts w:hint="eastAsia" w:ascii="仿宋" w:hAnsi="仿宋" w:eastAsia="仿宋"/>
          <w:sz w:val="24"/>
        </w:rPr>
        <w:t xml:space="preserve">法定代表人或授权代表（签字）：        </w:t>
      </w:r>
    </w:p>
    <w:p w14:paraId="35CD4707">
      <w:pPr>
        <w:adjustRightInd w:val="0"/>
        <w:snapToGrid w:val="0"/>
        <w:spacing w:line="360" w:lineRule="auto"/>
        <w:rPr>
          <w:rFonts w:ascii="仿宋" w:hAnsi="仿宋" w:eastAsia="仿宋"/>
          <w:sz w:val="24"/>
        </w:rPr>
      </w:pPr>
      <w:r>
        <w:rPr>
          <w:rFonts w:hint="eastAsia" w:ascii="仿宋" w:hAnsi="仿宋" w:eastAsia="仿宋"/>
          <w:sz w:val="24"/>
        </w:rPr>
        <w:t>日期：</w:t>
      </w:r>
      <w:bookmarkEnd w:id="21"/>
      <w:bookmarkEnd w:id="22"/>
    </w:p>
    <w:p w14:paraId="780C4DF4">
      <w:pPr>
        <w:pStyle w:val="3"/>
        <w:adjustRightInd w:val="0"/>
        <w:snapToGrid w:val="0"/>
        <w:spacing w:before="120" w:after="120" w:line="360" w:lineRule="auto"/>
        <w:jc w:val="left"/>
        <w:rPr>
          <w:rFonts w:hint="eastAsia" w:ascii="仿宋" w:hAnsi="仿宋" w:eastAsia="仿宋"/>
          <w:sz w:val="24"/>
          <w:szCs w:val="24"/>
        </w:rPr>
      </w:pPr>
      <w:bookmarkStart w:id="23" w:name="_Toc186288224"/>
      <w:bookmarkStart w:id="24" w:name="_Toc186191380"/>
    </w:p>
    <w:p w14:paraId="78BEBC8D">
      <w:pPr>
        <w:pStyle w:val="3"/>
        <w:adjustRightInd w:val="0"/>
        <w:snapToGrid w:val="0"/>
        <w:spacing w:before="120" w:after="120" w:line="360" w:lineRule="auto"/>
        <w:jc w:val="left"/>
        <w:rPr>
          <w:rFonts w:ascii="仿宋" w:hAnsi="仿宋" w:eastAsia="仿宋"/>
          <w:sz w:val="24"/>
          <w:szCs w:val="24"/>
        </w:rPr>
      </w:pPr>
      <w:r>
        <w:rPr>
          <w:rFonts w:hint="eastAsia" w:ascii="仿宋" w:hAnsi="仿宋" w:eastAsia="仿宋"/>
          <w:sz w:val="24"/>
          <w:szCs w:val="24"/>
        </w:rPr>
        <w:t>附件2：供应商失信行为处置标准</w:t>
      </w:r>
      <w:bookmarkEnd w:id="23"/>
      <w:bookmarkEnd w:id="24"/>
    </w:p>
    <w:p w14:paraId="2C668058">
      <w:pPr>
        <w:adjustRightInd w:val="0"/>
        <w:snapToGrid w:val="0"/>
        <w:spacing w:line="360" w:lineRule="auto"/>
        <w:ind w:firstLine="480" w:firstLineChars="200"/>
        <w:rPr>
          <w:rFonts w:ascii="仿宋" w:hAnsi="仿宋" w:eastAsia="仿宋" w:cs="楷体"/>
          <w:bCs/>
          <w:color w:val="000000"/>
          <w:sz w:val="24"/>
        </w:rPr>
      </w:pPr>
      <w:r>
        <w:rPr>
          <w:rFonts w:hint="eastAsia" w:ascii="仿宋" w:hAnsi="仿宋" w:eastAsia="仿宋" w:cs="楷体"/>
          <w:bCs/>
          <w:color w:val="000000"/>
          <w:sz w:val="24"/>
        </w:rPr>
        <w:t>对考核评价得分不足 85 分，以及存在失信行为的供应商的处置，可参照以下标准。</w:t>
      </w:r>
    </w:p>
    <w:p w14:paraId="5C791517">
      <w:pPr>
        <w:adjustRightInd w:val="0"/>
        <w:snapToGrid w:val="0"/>
        <w:spacing w:line="360" w:lineRule="auto"/>
        <w:ind w:firstLine="480" w:firstLineChars="200"/>
        <w:rPr>
          <w:rFonts w:ascii="仿宋" w:hAnsi="仿宋" w:eastAsia="仿宋" w:cs="楷体"/>
          <w:bCs/>
          <w:color w:val="000000"/>
          <w:sz w:val="24"/>
        </w:rPr>
      </w:pPr>
      <w:r>
        <w:rPr>
          <w:rFonts w:hint="eastAsia" w:ascii="仿宋" w:hAnsi="仿宋" w:eastAsia="仿宋" w:cs="楷体"/>
          <w:bCs/>
          <w:color w:val="000000"/>
          <w:sz w:val="24"/>
        </w:rPr>
        <w:t>供应商处置分为“警告”、“暂停合作”、“停止合作”三种形式。被“警告”处置的列入“重点关注名单”，被“暂停合作”处置的列入“黑名单”，被“停止合作”处置的列入“永久黑名单”。</w:t>
      </w:r>
    </w:p>
    <w:p w14:paraId="285215C9">
      <w:pPr>
        <w:adjustRightInd w:val="0"/>
        <w:snapToGrid w:val="0"/>
        <w:spacing w:line="360" w:lineRule="auto"/>
        <w:ind w:firstLine="480" w:firstLineChars="200"/>
        <w:rPr>
          <w:rFonts w:ascii="仿宋" w:hAnsi="仿宋" w:eastAsia="仿宋" w:cs="楷体"/>
          <w:bCs/>
          <w:color w:val="000000"/>
          <w:sz w:val="24"/>
        </w:rPr>
      </w:pPr>
      <w:r>
        <w:rPr>
          <w:rFonts w:hint="eastAsia" w:ascii="仿宋" w:hAnsi="仿宋" w:eastAsia="仿宋" w:cs="楷体"/>
          <w:bCs/>
          <w:color w:val="000000"/>
          <w:sz w:val="24"/>
        </w:rPr>
        <w:t>一、“警告”处置是指对日常考核评价基本合格但分数较低，或违反采购和合同相关规定，情节轻微、未给企业造成实质损失的供应商，由各公司负责提出警告并通知供应商及时完成整改。整改期限原则上不超过 3 个月。</w:t>
      </w:r>
    </w:p>
    <w:p w14:paraId="6E347D7F">
      <w:pPr>
        <w:adjustRightInd w:val="0"/>
        <w:snapToGrid w:val="0"/>
        <w:spacing w:line="360" w:lineRule="auto"/>
        <w:ind w:firstLine="480" w:firstLineChars="200"/>
        <w:rPr>
          <w:rFonts w:ascii="仿宋" w:hAnsi="仿宋" w:eastAsia="仿宋" w:cs="楷体"/>
          <w:bCs/>
          <w:color w:val="000000"/>
          <w:sz w:val="24"/>
        </w:rPr>
      </w:pPr>
      <w:r>
        <w:rPr>
          <w:rFonts w:hint="eastAsia" w:ascii="仿宋" w:hAnsi="仿宋" w:eastAsia="仿宋" w:cs="楷体"/>
          <w:bCs/>
          <w:color w:val="000000"/>
          <w:sz w:val="24"/>
        </w:rPr>
        <w:t>被“警告”处置的供应商，已完成整改要求，经本公司采购委员会审批通过的，解除“警告”处置。</w:t>
      </w:r>
    </w:p>
    <w:p w14:paraId="5D3039C9">
      <w:pPr>
        <w:adjustRightInd w:val="0"/>
        <w:snapToGrid w:val="0"/>
        <w:spacing w:line="360" w:lineRule="auto"/>
        <w:ind w:firstLine="482" w:firstLineChars="200"/>
        <w:rPr>
          <w:rFonts w:ascii="仿宋" w:hAnsi="仿宋" w:eastAsia="仿宋" w:cs="楷体"/>
          <w:b/>
          <w:bCs/>
          <w:color w:val="000000"/>
          <w:sz w:val="24"/>
        </w:rPr>
      </w:pPr>
      <w:r>
        <w:rPr>
          <w:rFonts w:hint="eastAsia" w:ascii="仿宋" w:hAnsi="仿宋" w:eastAsia="仿宋" w:cs="楷体"/>
          <w:b/>
          <w:bCs/>
          <w:color w:val="000000"/>
          <w:sz w:val="24"/>
        </w:rPr>
        <w:t>二、“暂停合作”处置是指暂停供应商在本公司的合格投标人/报价人/合同供应商资格。依据供应商失信行为性质的严重程度，“暂停合作”期限设为 1 年、2 年、3-5 年。</w:t>
      </w:r>
    </w:p>
    <w:p w14:paraId="7775C1DD">
      <w:pPr>
        <w:adjustRightInd w:val="0"/>
        <w:snapToGrid w:val="0"/>
        <w:spacing w:line="360" w:lineRule="auto"/>
        <w:ind w:firstLine="482" w:firstLineChars="200"/>
        <w:rPr>
          <w:rFonts w:ascii="仿宋" w:hAnsi="仿宋" w:eastAsia="仿宋" w:cs="楷体"/>
          <w:b/>
          <w:bCs/>
          <w:color w:val="000000"/>
          <w:sz w:val="24"/>
        </w:rPr>
      </w:pPr>
      <w:r>
        <w:rPr>
          <w:rFonts w:hint="eastAsia" w:ascii="仿宋" w:hAnsi="仿宋" w:eastAsia="仿宋" w:cs="楷体"/>
          <w:b/>
          <w:bCs/>
          <w:color w:val="000000"/>
          <w:sz w:val="24"/>
        </w:rPr>
        <w:t>（一）对有下列情形之一的供应商，给予“暂停合作”1 年处置：</w:t>
      </w:r>
    </w:p>
    <w:p w14:paraId="3BDD7911">
      <w:pPr>
        <w:adjustRightInd w:val="0"/>
        <w:snapToGrid w:val="0"/>
        <w:spacing w:line="360" w:lineRule="auto"/>
        <w:ind w:firstLine="480" w:firstLineChars="200"/>
        <w:rPr>
          <w:rFonts w:ascii="仿宋" w:hAnsi="仿宋" w:eastAsia="仿宋" w:cs="楷体"/>
          <w:bCs/>
          <w:color w:val="000000"/>
          <w:sz w:val="24"/>
        </w:rPr>
      </w:pPr>
      <w:r>
        <w:rPr>
          <w:rFonts w:hint="eastAsia" w:ascii="仿宋" w:hAnsi="仿宋" w:eastAsia="仿宋" w:cs="楷体"/>
          <w:bCs/>
          <w:color w:val="000000"/>
          <w:sz w:val="24"/>
        </w:rPr>
        <w:t>1.不能按招标文件、投标文件或合同约定完成相关事项，给公司造成损失，影响生产建设的；</w:t>
      </w:r>
    </w:p>
    <w:p w14:paraId="727D2D8F">
      <w:pPr>
        <w:adjustRightInd w:val="0"/>
        <w:snapToGrid w:val="0"/>
        <w:spacing w:line="360" w:lineRule="auto"/>
        <w:ind w:firstLine="480" w:firstLineChars="200"/>
        <w:rPr>
          <w:rFonts w:ascii="仿宋" w:hAnsi="仿宋" w:eastAsia="仿宋" w:cs="楷体"/>
          <w:bCs/>
          <w:color w:val="000000"/>
          <w:sz w:val="24"/>
        </w:rPr>
      </w:pPr>
      <w:r>
        <w:rPr>
          <w:rFonts w:hint="eastAsia" w:ascii="仿宋" w:hAnsi="仿宋" w:eastAsia="仿宋" w:cs="楷体"/>
          <w:bCs/>
          <w:color w:val="000000"/>
          <w:sz w:val="24"/>
        </w:rPr>
        <w:t>2.未经业主同意擅自将中标项目分包的；</w:t>
      </w:r>
    </w:p>
    <w:p w14:paraId="5CA45AA8">
      <w:pPr>
        <w:adjustRightInd w:val="0"/>
        <w:snapToGrid w:val="0"/>
        <w:spacing w:line="360" w:lineRule="auto"/>
        <w:ind w:firstLine="480" w:firstLineChars="200"/>
        <w:rPr>
          <w:rFonts w:ascii="仿宋" w:hAnsi="仿宋" w:eastAsia="仿宋" w:cs="楷体"/>
          <w:bCs/>
          <w:color w:val="000000"/>
          <w:sz w:val="24"/>
        </w:rPr>
      </w:pPr>
      <w:r>
        <w:rPr>
          <w:rFonts w:hint="eastAsia" w:ascii="仿宋" w:hAnsi="仿宋" w:eastAsia="仿宋" w:cs="楷体"/>
          <w:bCs/>
          <w:color w:val="000000"/>
          <w:sz w:val="24"/>
        </w:rPr>
        <w:t>3.未经业主同意擅自更换合同约定或采购文件承诺的原材料、零部件，影响生产建设的；</w:t>
      </w:r>
    </w:p>
    <w:p w14:paraId="5A8D7D05">
      <w:pPr>
        <w:adjustRightInd w:val="0"/>
        <w:snapToGrid w:val="0"/>
        <w:spacing w:line="360" w:lineRule="auto"/>
        <w:ind w:firstLine="480" w:firstLineChars="200"/>
        <w:rPr>
          <w:rFonts w:ascii="仿宋" w:hAnsi="仿宋" w:eastAsia="仿宋" w:cs="楷体"/>
          <w:bCs/>
          <w:color w:val="000000"/>
          <w:sz w:val="24"/>
        </w:rPr>
      </w:pPr>
      <w:r>
        <w:rPr>
          <w:rFonts w:hint="eastAsia" w:ascii="仿宋" w:hAnsi="仿宋" w:eastAsia="仿宋" w:cs="楷体"/>
          <w:bCs/>
          <w:color w:val="000000"/>
          <w:sz w:val="24"/>
        </w:rPr>
        <w:t>4.考评得分＜60 分的。</w:t>
      </w:r>
    </w:p>
    <w:p w14:paraId="7BD10693">
      <w:pPr>
        <w:adjustRightInd w:val="0"/>
        <w:snapToGrid w:val="0"/>
        <w:spacing w:line="360" w:lineRule="auto"/>
        <w:ind w:firstLine="482" w:firstLineChars="200"/>
        <w:rPr>
          <w:rFonts w:ascii="仿宋" w:hAnsi="仿宋" w:eastAsia="仿宋" w:cs="楷体"/>
          <w:b/>
          <w:bCs/>
          <w:color w:val="000000"/>
          <w:sz w:val="24"/>
        </w:rPr>
      </w:pPr>
      <w:r>
        <w:rPr>
          <w:rFonts w:hint="eastAsia" w:ascii="仿宋" w:hAnsi="仿宋" w:eastAsia="仿宋" w:cs="楷体"/>
          <w:b/>
          <w:bCs/>
          <w:color w:val="000000"/>
          <w:sz w:val="24"/>
        </w:rPr>
        <w:t>（二）对有下列情形之一的供应商，给予“暂停合作”2 年处置：</w:t>
      </w:r>
    </w:p>
    <w:p w14:paraId="229234C3">
      <w:pPr>
        <w:adjustRightInd w:val="0"/>
        <w:snapToGrid w:val="0"/>
        <w:spacing w:line="360" w:lineRule="auto"/>
        <w:ind w:firstLine="480" w:firstLineChars="200"/>
        <w:rPr>
          <w:rFonts w:ascii="仿宋" w:hAnsi="仿宋" w:eastAsia="仿宋" w:cs="楷体"/>
          <w:bCs/>
          <w:color w:val="000000"/>
          <w:sz w:val="24"/>
        </w:rPr>
      </w:pPr>
      <w:r>
        <w:rPr>
          <w:rFonts w:hint="eastAsia" w:ascii="仿宋" w:hAnsi="仿宋" w:eastAsia="仿宋" w:cs="楷体"/>
          <w:bCs/>
          <w:color w:val="000000"/>
          <w:sz w:val="24"/>
        </w:rPr>
        <w:t>1.在采购活动期间以非正常渠道接触采购人、采购代理机构、评标及评审专家等人员，获取相关信息，干扰正常采购的；</w:t>
      </w:r>
    </w:p>
    <w:p w14:paraId="77C03623">
      <w:pPr>
        <w:adjustRightInd w:val="0"/>
        <w:snapToGrid w:val="0"/>
        <w:spacing w:line="360" w:lineRule="auto"/>
        <w:ind w:firstLine="480" w:firstLineChars="200"/>
        <w:rPr>
          <w:rFonts w:ascii="仿宋" w:hAnsi="仿宋" w:eastAsia="仿宋" w:cs="楷体"/>
          <w:bCs/>
          <w:color w:val="000000"/>
          <w:sz w:val="24"/>
        </w:rPr>
      </w:pPr>
      <w:r>
        <w:rPr>
          <w:rFonts w:hint="eastAsia" w:ascii="仿宋" w:hAnsi="仿宋" w:eastAsia="仿宋" w:cs="楷体"/>
          <w:bCs/>
          <w:color w:val="000000"/>
          <w:sz w:val="24"/>
        </w:rPr>
        <w:t>2.开标之后无正当理由放弃中标/成交不与采购人订立合同，在签订合同时向采购人提出附加条件，或未按约定提交履约保证金或索取额外费用等失信行为，影响生产建设的；</w:t>
      </w:r>
    </w:p>
    <w:p w14:paraId="64AABD47">
      <w:pPr>
        <w:adjustRightInd w:val="0"/>
        <w:snapToGrid w:val="0"/>
        <w:spacing w:line="360" w:lineRule="auto"/>
        <w:ind w:firstLine="480" w:firstLineChars="200"/>
        <w:rPr>
          <w:rFonts w:ascii="仿宋" w:hAnsi="仿宋" w:eastAsia="仿宋" w:cs="楷体"/>
          <w:bCs/>
          <w:color w:val="000000"/>
          <w:sz w:val="24"/>
        </w:rPr>
      </w:pPr>
      <w:r>
        <w:rPr>
          <w:rFonts w:hint="eastAsia" w:ascii="仿宋" w:hAnsi="仿宋" w:eastAsia="仿宋" w:cs="楷体"/>
          <w:bCs/>
          <w:color w:val="000000"/>
          <w:sz w:val="24"/>
        </w:rPr>
        <w:t>3.违反投标承诺或合同约定提高价格、降低质量、拖延工期，影响生产建设的；</w:t>
      </w:r>
    </w:p>
    <w:p w14:paraId="4B332B75">
      <w:pPr>
        <w:adjustRightInd w:val="0"/>
        <w:snapToGrid w:val="0"/>
        <w:spacing w:line="360" w:lineRule="auto"/>
        <w:ind w:firstLine="480" w:firstLineChars="200"/>
        <w:rPr>
          <w:rFonts w:ascii="仿宋" w:hAnsi="仿宋" w:eastAsia="仿宋" w:cs="楷体"/>
          <w:bCs/>
          <w:color w:val="000000"/>
          <w:sz w:val="24"/>
        </w:rPr>
      </w:pPr>
      <w:r>
        <w:rPr>
          <w:rFonts w:hint="eastAsia" w:ascii="仿宋" w:hAnsi="仿宋" w:eastAsia="仿宋" w:cs="楷体"/>
          <w:bCs/>
          <w:color w:val="000000"/>
          <w:sz w:val="24"/>
        </w:rPr>
        <w:t>4.在质保期内其产品或服务出现质量问题，未按合同约定及时进行处理，影响安全稳定运行的；</w:t>
      </w:r>
    </w:p>
    <w:p w14:paraId="5F305D4E">
      <w:pPr>
        <w:adjustRightInd w:val="0"/>
        <w:snapToGrid w:val="0"/>
        <w:spacing w:line="360" w:lineRule="auto"/>
        <w:ind w:firstLine="480" w:firstLineChars="200"/>
        <w:rPr>
          <w:rFonts w:ascii="仿宋" w:hAnsi="仿宋" w:eastAsia="仿宋" w:cs="楷体"/>
          <w:bCs/>
          <w:color w:val="000000"/>
          <w:sz w:val="24"/>
        </w:rPr>
      </w:pPr>
      <w:r>
        <w:rPr>
          <w:rFonts w:hint="eastAsia" w:ascii="仿宋" w:hAnsi="仿宋" w:eastAsia="仿宋" w:cs="楷体"/>
          <w:bCs/>
          <w:color w:val="000000"/>
          <w:sz w:val="24"/>
        </w:rPr>
        <w:t>5.降低产品标准、偷工减料，或在生产制造过程中使用伪劣原材料、零部件以次充好，影响现场使用的；</w:t>
      </w:r>
    </w:p>
    <w:p w14:paraId="74EB0F25">
      <w:pPr>
        <w:adjustRightInd w:val="0"/>
        <w:snapToGrid w:val="0"/>
        <w:spacing w:line="360" w:lineRule="auto"/>
        <w:ind w:firstLine="480" w:firstLineChars="200"/>
        <w:rPr>
          <w:rFonts w:ascii="仿宋" w:hAnsi="仿宋" w:eastAsia="仿宋" w:cs="楷体"/>
          <w:bCs/>
          <w:color w:val="000000"/>
          <w:sz w:val="24"/>
        </w:rPr>
      </w:pPr>
      <w:r>
        <w:rPr>
          <w:rFonts w:hint="eastAsia" w:ascii="仿宋" w:hAnsi="仿宋" w:eastAsia="仿宋" w:cs="楷体"/>
          <w:bCs/>
          <w:color w:val="000000"/>
          <w:sz w:val="24"/>
        </w:rPr>
        <w:t>6.在参与采购活动过程中，存在商业贿赂、恶意诽谤、诬告或陷害其他竞争对手的；</w:t>
      </w:r>
    </w:p>
    <w:p w14:paraId="5D885AD3">
      <w:pPr>
        <w:adjustRightInd w:val="0"/>
        <w:snapToGrid w:val="0"/>
        <w:spacing w:line="360" w:lineRule="auto"/>
        <w:ind w:firstLine="480" w:firstLineChars="200"/>
        <w:rPr>
          <w:rFonts w:ascii="仿宋" w:hAnsi="仿宋" w:eastAsia="仿宋" w:cs="楷体"/>
          <w:bCs/>
          <w:color w:val="000000"/>
          <w:sz w:val="24"/>
        </w:rPr>
      </w:pPr>
      <w:r>
        <w:rPr>
          <w:rFonts w:hint="eastAsia" w:ascii="仿宋" w:hAnsi="仿宋" w:eastAsia="仿宋" w:cs="楷体"/>
          <w:bCs/>
          <w:color w:val="000000"/>
          <w:sz w:val="24"/>
        </w:rPr>
        <w:t>7.警告处置整改期限内拒不整改的。</w:t>
      </w:r>
    </w:p>
    <w:p w14:paraId="51357126">
      <w:pPr>
        <w:adjustRightInd w:val="0"/>
        <w:snapToGrid w:val="0"/>
        <w:spacing w:line="360" w:lineRule="auto"/>
        <w:ind w:firstLine="482" w:firstLineChars="200"/>
        <w:rPr>
          <w:rFonts w:ascii="仿宋" w:hAnsi="仿宋" w:eastAsia="仿宋" w:cs="楷体"/>
          <w:b/>
          <w:bCs/>
          <w:color w:val="000000"/>
          <w:sz w:val="24"/>
        </w:rPr>
      </w:pPr>
      <w:r>
        <w:rPr>
          <w:rFonts w:hint="eastAsia" w:ascii="仿宋" w:hAnsi="仿宋" w:eastAsia="仿宋" w:cs="楷体"/>
          <w:b/>
          <w:bCs/>
          <w:color w:val="000000"/>
          <w:sz w:val="24"/>
        </w:rPr>
        <w:t>（三）对有下列情形之一的供应商，给予“暂停合作”3-5 年处置：</w:t>
      </w:r>
    </w:p>
    <w:p w14:paraId="5FCC60E9">
      <w:pPr>
        <w:adjustRightInd w:val="0"/>
        <w:snapToGrid w:val="0"/>
        <w:spacing w:line="360" w:lineRule="auto"/>
        <w:ind w:firstLine="480" w:firstLineChars="200"/>
        <w:rPr>
          <w:rFonts w:ascii="仿宋" w:hAnsi="仿宋" w:eastAsia="仿宋" w:cs="楷体"/>
          <w:bCs/>
          <w:color w:val="000000"/>
          <w:sz w:val="24"/>
        </w:rPr>
      </w:pPr>
      <w:r>
        <w:rPr>
          <w:rFonts w:hint="eastAsia" w:ascii="仿宋" w:hAnsi="仿宋" w:eastAsia="仿宋" w:cs="楷体"/>
          <w:bCs/>
          <w:color w:val="000000"/>
          <w:sz w:val="24"/>
        </w:rPr>
        <w:t>1.参与采购活动过程中提供虚假的营业执照、资质证书、业绩，非法以他人名义投标、借用他人资质或以其他弄虚作假方式投标的；</w:t>
      </w:r>
    </w:p>
    <w:p w14:paraId="6CA80E5F">
      <w:pPr>
        <w:adjustRightInd w:val="0"/>
        <w:snapToGrid w:val="0"/>
        <w:spacing w:line="360" w:lineRule="auto"/>
        <w:ind w:firstLine="480" w:firstLineChars="200"/>
        <w:rPr>
          <w:rFonts w:ascii="仿宋" w:hAnsi="仿宋" w:eastAsia="仿宋" w:cs="楷体"/>
          <w:bCs/>
          <w:color w:val="000000"/>
          <w:sz w:val="24"/>
        </w:rPr>
      </w:pPr>
      <w:r>
        <w:rPr>
          <w:rFonts w:hint="eastAsia" w:ascii="仿宋" w:hAnsi="仿宋" w:eastAsia="仿宋" w:cs="楷体"/>
          <w:bCs/>
          <w:color w:val="000000"/>
          <w:sz w:val="24"/>
        </w:rPr>
        <w:t>2.在采购活动过程中投标人相互串通投标或者与招标人串通投标，破坏公平竞争的；</w:t>
      </w:r>
    </w:p>
    <w:p w14:paraId="5472CD97">
      <w:pPr>
        <w:adjustRightInd w:val="0"/>
        <w:snapToGrid w:val="0"/>
        <w:spacing w:line="360" w:lineRule="auto"/>
        <w:ind w:firstLine="480" w:firstLineChars="200"/>
        <w:rPr>
          <w:rFonts w:ascii="仿宋" w:hAnsi="仿宋" w:eastAsia="仿宋" w:cs="楷体"/>
          <w:bCs/>
          <w:color w:val="000000"/>
          <w:sz w:val="24"/>
        </w:rPr>
      </w:pPr>
      <w:r>
        <w:rPr>
          <w:rFonts w:hint="eastAsia" w:ascii="仿宋" w:hAnsi="仿宋" w:eastAsia="仿宋" w:cs="楷体"/>
          <w:bCs/>
          <w:color w:val="000000"/>
          <w:sz w:val="24"/>
        </w:rPr>
        <w:t>3.提供假冒伪劣产品，伪造施工、货物或服务等检验、试验合格证明的；</w:t>
      </w:r>
    </w:p>
    <w:p w14:paraId="1AFF9801">
      <w:pPr>
        <w:adjustRightInd w:val="0"/>
        <w:snapToGrid w:val="0"/>
        <w:spacing w:line="360" w:lineRule="auto"/>
        <w:ind w:firstLine="480" w:firstLineChars="200"/>
        <w:rPr>
          <w:rFonts w:ascii="仿宋" w:hAnsi="仿宋" w:eastAsia="仿宋" w:cs="楷体"/>
          <w:bCs/>
          <w:color w:val="000000"/>
          <w:sz w:val="24"/>
        </w:rPr>
      </w:pPr>
      <w:r>
        <w:rPr>
          <w:rFonts w:hint="eastAsia" w:ascii="仿宋" w:hAnsi="仿宋" w:eastAsia="仿宋" w:cs="楷体"/>
          <w:bCs/>
          <w:color w:val="000000"/>
          <w:sz w:val="24"/>
        </w:rPr>
        <w:t>4.在合同签订后，由于供应商自身原因拒绝履行合同义务,单方面擅自终止合同，或将中标项目违法分包/转包；</w:t>
      </w:r>
    </w:p>
    <w:p w14:paraId="67F09826">
      <w:pPr>
        <w:adjustRightInd w:val="0"/>
        <w:snapToGrid w:val="0"/>
        <w:spacing w:line="360" w:lineRule="auto"/>
        <w:ind w:firstLine="480" w:firstLineChars="200"/>
        <w:rPr>
          <w:rFonts w:ascii="仿宋" w:hAnsi="仿宋" w:eastAsia="仿宋" w:cs="楷体"/>
          <w:bCs/>
          <w:color w:val="000000"/>
          <w:sz w:val="24"/>
        </w:rPr>
      </w:pPr>
      <w:r>
        <w:rPr>
          <w:rFonts w:hint="eastAsia" w:ascii="仿宋" w:hAnsi="仿宋" w:eastAsia="仿宋" w:cs="楷体"/>
          <w:bCs/>
          <w:color w:val="000000"/>
          <w:sz w:val="24"/>
        </w:rPr>
        <w:t>5.违背《廉洁合规承诺书》的；</w:t>
      </w:r>
    </w:p>
    <w:p w14:paraId="3EF92B42">
      <w:pPr>
        <w:adjustRightInd w:val="0"/>
        <w:snapToGrid w:val="0"/>
        <w:spacing w:line="360" w:lineRule="auto"/>
        <w:ind w:firstLine="480" w:firstLineChars="200"/>
        <w:rPr>
          <w:rFonts w:ascii="仿宋" w:hAnsi="仿宋" w:eastAsia="仿宋" w:cs="楷体"/>
          <w:bCs/>
          <w:color w:val="000000"/>
          <w:sz w:val="24"/>
        </w:rPr>
      </w:pPr>
      <w:r>
        <w:rPr>
          <w:rFonts w:hint="eastAsia" w:ascii="仿宋" w:hAnsi="仿宋" w:eastAsia="仿宋" w:cs="楷体"/>
          <w:bCs/>
          <w:color w:val="000000"/>
          <w:sz w:val="24"/>
        </w:rPr>
        <w:t>6.年度考核评价结果累计 2 次为不合格；</w:t>
      </w:r>
    </w:p>
    <w:p w14:paraId="5ABFD224">
      <w:pPr>
        <w:adjustRightInd w:val="0"/>
        <w:snapToGrid w:val="0"/>
        <w:spacing w:line="360" w:lineRule="auto"/>
        <w:ind w:firstLine="480" w:firstLineChars="200"/>
        <w:rPr>
          <w:rFonts w:ascii="仿宋" w:hAnsi="仿宋" w:eastAsia="仿宋" w:cs="楷体"/>
          <w:bCs/>
          <w:color w:val="000000"/>
          <w:sz w:val="24"/>
        </w:rPr>
      </w:pPr>
      <w:r>
        <w:rPr>
          <w:rFonts w:hint="eastAsia" w:ascii="仿宋" w:hAnsi="仿宋" w:eastAsia="仿宋" w:cs="楷体"/>
          <w:bCs/>
          <w:color w:val="000000"/>
          <w:sz w:val="24"/>
        </w:rPr>
        <w:t>7.符合《华润燃气控股有限公司相关方安全管理制度》黑名单管理情形的；</w:t>
      </w:r>
    </w:p>
    <w:p w14:paraId="0EF02E06">
      <w:pPr>
        <w:adjustRightInd w:val="0"/>
        <w:snapToGrid w:val="0"/>
        <w:spacing w:line="360" w:lineRule="auto"/>
        <w:ind w:firstLine="480" w:firstLineChars="200"/>
        <w:rPr>
          <w:rFonts w:ascii="仿宋" w:hAnsi="仿宋" w:eastAsia="仿宋" w:cs="楷体"/>
          <w:bCs/>
          <w:color w:val="000000"/>
          <w:sz w:val="24"/>
        </w:rPr>
      </w:pPr>
      <w:r>
        <w:rPr>
          <w:rFonts w:hint="eastAsia" w:ascii="仿宋" w:hAnsi="仿宋" w:eastAsia="仿宋" w:cs="楷体"/>
          <w:bCs/>
          <w:color w:val="000000"/>
          <w:sz w:val="24"/>
        </w:rPr>
        <w:t>8.华润燃气认定的其他违规行为或条件的。</w:t>
      </w:r>
    </w:p>
    <w:p w14:paraId="6F4BBDFA">
      <w:pPr>
        <w:adjustRightInd w:val="0"/>
        <w:snapToGrid w:val="0"/>
        <w:spacing w:line="360" w:lineRule="auto"/>
        <w:ind w:firstLine="482" w:firstLineChars="200"/>
        <w:rPr>
          <w:rFonts w:ascii="仿宋" w:hAnsi="仿宋" w:eastAsia="仿宋" w:cs="楷体"/>
          <w:b/>
          <w:bCs/>
          <w:color w:val="000000"/>
          <w:sz w:val="24"/>
        </w:rPr>
      </w:pPr>
      <w:r>
        <w:rPr>
          <w:rFonts w:hint="eastAsia" w:ascii="仿宋" w:hAnsi="仿宋" w:eastAsia="仿宋" w:cs="楷体"/>
          <w:b/>
          <w:bCs/>
          <w:color w:val="000000"/>
          <w:sz w:val="24"/>
        </w:rPr>
        <w:t>三、“停止合作”处置是指停止供应商在本公司的合格投标人/报价人/合同供应商资格。对有下列情形之一的供应商，给予“停止合作”处置：</w:t>
      </w:r>
    </w:p>
    <w:p w14:paraId="7AE32A2D">
      <w:pPr>
        <w:adjustRightInd w:val="0"/>
        <w:snapToGrid w:val="0"/>
        <w:spacing w:line="360" w:lineRule="auto"/>
        <w:ind w:firstLine="480" w:firstLineChars="200"/>
        <w:rPr>
          <w:rFonts w:ascii="仿宋" w:hAnsi="仿宋" w:eastAsia="仿宋" w:cs="楷体"/>
          <w:bCs/>
          <w:color w:val="000000"/>
          <w:sz w:val="24"/>
        </w:rPr>
      </w:pPr>
      <w:r>
        <w:rPr>
          <w:rFonts w:hint="eastAsia" w:ascii="仿宋" w:hAnsi="仿宋" w:eastAsia="仿宋" w:cs="楷体"/>
          <w:bCs/>
          <w:color w:val="000000"/>
          <w:sz w:val="24"/>
        </w:rPr>
        <w:t>（一）供应商在合同履约过程中，因生产环境严重劣化、破产等原因不再具备履约能力的；</w:t>
      </w:r>
    </w:p>
    <w:p w14:paraId="656504D2">
      <w:pPr>
        <w:adjustRightInd w:val="0"/>
        <w:snapToGrid w:val="0"/>
        <w:spacing w:line="360" w:lineRule="auto"/>
        <w:ind w:firstLine="480" w:firstLineChars="200"/>
        <w:rPr>
          <w:rFonts w:ascii="仿宋" w:hAnsi="仿宋" w:eastAsia="仿宋" w:cs="楷体"/>
          <w:bCs/>
          <w:color w:val="000000"/>
          <w:sz w:val="24"/>
        </w:rPr>
      </w:pPr>
      <w:r>
        <w:rPr>
          <w:rFonts w:hint="eastAsia" w:ascii="仿宋" w:hAnsi="仿宋" w:eastAsia="仿宋" w:cs="楷体"/>
          <w:bCs/>
          <w:color w:val="000000"/>
          <w:sz w:val="24"/>
        </w:rPr>
        <w:t>（二）法院判决书认定供应商为谋取不正当利益，向招标采购活动的招标人、评标委员会、招标代理机构等相关人员行贿的；</w:t>
      </w:r>
    </w:p>
    <w:p w14:paraId="1E45C0F6">
      <w:pPr>
        <w:adjustRightInd w:val="0"/>
        <w:snapToGrid w:val="0"/>
        <w:spacing w:line="360" w:lineRule="auto"/>
        <w:ind w:firstLine="480" w:firstLineChars="200"/>
        <w:rPr>
          <w:rFonts w:hint="eastAsia" w:ascii="仿宋" w:hAnsi="仿宋" w:eastAsia="仿宋" w:cs="楷体"/>
          <w:bCs/>
          <w:color w:val="000000"/>
          <w:sz w:val="24"/>
        </w:rPr>
      </w:pPr>
      <w:r>
        <w:rPr>
          <w:rFonts w:hint="eastAsia" w:ascii="仿宋" w:hAnsi="仿宋" w:eastAsia="仿宋" w:cs="楷体"/>
          <w:bCs/>
          <w:color w:val="000000"/>
          <w:sz w:val="24"/>
        </w:rPr>
        <w:t>（三）符合《华润燃气相关方安全管理指引》认定永久列入华润燃气黑名单情形的。</w:t>
      </w:r>
    </w:p>
    <w:p w14:paraId="352F9A3A">
      <w:pPr>
        <w:tabs>
          <w:tab w:val="left" w:pos="2203"/>
        </w:tabs>
        <w:adjustRightInd w:val="0"/>
        <w:snapToGrid w:val="0"/>
        <w:spacing w:line="360" w:lineRule="auto"/>
        <w:ind w:firstLine="480" w:firstLineChars="200"/>
        <w:rPr>
          <w:rFonts w:hint="eastAsia" w:ascii="仿宋" w:hAnsi="仿宋" w:eastAsia="仿宋" w:cs="楷体"/>
          <w:bCs/>
          <w:color w:val="000000"/>
          <w:sz w:val="24"/>
          <w:lang w:eastAsia="zh-CN"/>
        </w:rPr>
      </w:pPr>
      <w:r>
        <w:rPr>
          <w:rFonts w:hint="eastAsia" w:ascii="仿宋" w:hAnsi="仿宋" w:eastAsia="仿宋" w:cs="楷体"/>
          <w:bCs/>
          <w:color w:val="000000"/>
          <w:sz w:val="24"/>
        </w:rPr>
        <w:t>（</w:t>
      </w:r>
      <w:r>
        <w:rPr>
          <w:rFonts w:hint="eastAsia" w:ascii="仿宋" w:hAnsi="仿宋" w:eastAsia="仿宋" w:cs="楷体"/>
          <w:bCs/>
          <w:color w:val="000000"/>
          <w:sz w:val="24"/>
          <w:lang w:val="en-US" w:eastAsia="zh-CN"/>
        </w:rPr>
        <w:t>四</w:t>
      </w:r>
      <w:r>
        <w:rPr>
          <w:rFonts w:hint="eastAsia" w:ascii="仿宋" w:hAnsi="仿宋" w:eastAsia="仿宋" w:cs="楷体"/>
          <w:bCs/>
          <w:color w:val="000000"/>
          <w:sz w:val="24"/>
        </w:rPr>
        <w:t>）</w:t>
      </w:r>
      <w:r>
        <w:rPr>
          <w:rFonts w:hint="eastAsia" w:ascii="仿宋" w:hAnsi="仿宋" w:eastAsia="仿宋" w:cs="楷体"/>
          <w:bCs/>
          <w:color w:val="000000"/>
          <w:sz w:val="24"/>
          <w:lang w:val="en-US" w:eastAsia="zh-CN"/>
        </w:rPr>
        <w:t>2025-2027</w:t>
      </w:r>
      <w:r>
        <w:rPr>
          <w:rFonts w:hint="eastAsia" w:ascii="仿宋" w:hAnsi="仿宋" w:eastAsia="仿宋" w:cs="楷体"/>
          <w:bCs/>
          <w:color w:val="000000"/>
          <w:sz w:val="24"/>
        </w:rPr>
        <w:t>两年度</w:t>
      </w:r>
      <w:bookmarkStart w:id="25" w:name="_GoBack"/>
      <w:bookmarkEnd w:id="25"/>
      <w:r>
        <w:rPr>
          <w:rFonts w:hint="eastAsia" w:ascii="仿宋" w:hAnsi="仿宋" w:eastAsia="仿宋" w:cs="楷体"/>
          <w:bCs/>
          <w:color w:val="000000"/>
          <w:sz w:val="24"/>
        </w:rPr>
        <w:t>，第二年合同履行的前提条件是第一年的年度考核成绩不低于85分,低于85分将自动解除合同。</w:t>
      </w:r>
    </w:p>
    <w:p w14:paraId="020E69BC">
      <w:pPr>
        <w:adjustRightInd w:val="0"/>
        <w:snapToGrid w:val="0"/>
        <w:spacing w:line="360" w:lineRule="auto"/>
        <w:ind w:firstLine="482" w:firstLineChars="200"/>
        <w:rPr>
          <w:rFonts w:ascii="仿宋" w:hAnsi="仿宋" w:eastAsia="仿宋" w:cs="仿宋"/>
          <w:color w:val="000000"/>
          <w:kern w:val="0"/>
          <w:sz w:val="24"/>
        </w:rPr>
      </w:pPr>
      <w:r>
        <w:rPr>
          <w:rFonts w:hint="eastAsia" w:ascii="仿宋" w:hAnsi="仿宋" w:eastAsia="仿宋" w:cs="楷体"/>
          <w:b/>
          <w:bCs/>
          <w:color w:val="000000"/>
          <w:sz w:val="24"/>
        </w:rPr>
        <w:t>四、凡被国家相关部门认定为有严重失信行为的供应商，按列入“黑名单”处置，暂停其参与华润燃气采购活动资格，直至供应商信用记录恢复正常为止。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ZWAdobeF">
    <w:altName w:val="Times New Roman"/>
    <w:panose1 w:val="00000000000000000000"/>
    <w:charset w:val="00"/>
    <w:family w:val="auto"/>
    <w:pitch w:val="default"/>
    <w:sig w:usb0="00000000" w:usb1="00000000" w:usb2="00000000" w:usb3="00000000" w:csb0="000001FF" w:csb1="00000000"/>
  </w:font>
  <w:font w:name="Cambria Math">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6571750"/>
    </w:sdtPr>
    <w:sdtContent>
      <w:sdt>
        <w:sdtPr>
          <w:id w:val="98381352"/>
        </w:sdtPr>
        <w:sdtContent>
          <w:p w14:paraId="1710A463">
            <w:pPr>
              <w:pStyle w:val="8"/>
              <w:jc w:val="center"/>
            </w:pPr>
            <w:r>
              <w:rPr>
                <w:lang w:val="zh-CN"/>
              </w:rPr>
              <w:t xml:space="preserve"> </w:t>
            </w:r>
            <w:r>
              <w:rPr>
                <w:bCs/>
              </w:rPr>
              <w:fldChar w:fldCharType="begin"/>
            </w:r>
            <w:r>
              <w:rPr>
                <w:bCs/>
              </w:rPr>
              <w:instrText xml:space="preserve">PAGE</w:instrText>
            </w:r>
            <w:r>
              <w:rPr>
                <w:bCs/>
              </w:rPr>
              <w:fldChar w:fldCharType="separate"/>
            </w:r>
            <w:r>
              <w:rPr>
                <w:bCs/>
              </w:rPr>
              <w:t>7</w:t>
            </w:r>
            <w:r>
              <w:rPr>
                <w:bCs/>
              </w:rPr>
              <w:fldChar w:fldCharType="end"/>
            </w:r>
            <w:r>
              <w:rPr>
                <w:lang w:val="zh-CN"/>
              </w:rPr>
              <w:t xml:space="preserve"> / </w:t>
            </w:r>
            <w:r>
              <w:rPr>
                <w:bCs/>
              </w:rPr>
              <w:fldChar w:fldCharType="begin"/>
            </w:r>
            <w:r>
              <w:rPr>
                <w:bCs/>
              </w:rPr>
              <w:instrText xml:space="preserve">NUMPAGES</w:instrText>
            </w:r>
            <w:r>
              <w:rPr>
                <w:bCs/>
              </w:rPr>
              <w:fldChar w:fldCharType="separate"/>
            </w:r>
            <w:r>
              <w:rPr>
                <w:bCs/>
              </w:rPr>
              <w:t>16</w:t>
            </w:r>
            <w:r>
              <w:rPr>
                <w:bCs/>
              </w:rPr>
              <w:fldChar w:fldCharType="end"/>
            </w:r>
          </w:p>
        </w:sdtContent>
      </w:sdt>
    </w:sdtContent>
  </w:sdt>
  <w:p w14:paraId="3E143C98">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24039"/>
    <w:multiLevelType w:val="multilevel"/>
    <w:tmpl w:val="AAA2403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suff w:val="nothing"/>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ACBF42A8"/>
    <w:multiLevelType w:val="multilevel"/>
    <w:tmpl w:val="ACBF42A8"/>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C83E5544"/>
    <w:multiLevelType w:val="multilevel"/>
    <w:tmpl w:val="C83E554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D3FAD1D7"/>
    <w:multiLevelType w:val="multilevel"/>
    <w:tmpl w:val="D3FAD1D7"/>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suff w:val="nothing"/>
      <w:lvlText w:val="%4."/>
      <w:lvlJc w:val="left"/>
      <w:pPr>
        <w:ind w:left="2160" w:hanging="420"/>
      </w:pPr>
      <w:rPr>
        <w:color w:val="auto"/>
      </w:r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97DA993"/>
    <w:multiLevelType w:val="multilevel"/>
    <w:tmpl w:val="097DA993"/>
    <w:lvl w:ilvl="0" w:tentative="0">
      <w:start w:val="1"/>
      <w:numFmt w:val="decimal"/>
      <w:suff w:val="nothing"/>
      <w:lvlText w:val="%1."/>
      <w:lvlJc w:val="left"/>
      <w:pPr>
        <w:ind w:left="11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B5D48CE"/>
    <w:multiLevelType w:val="multilevel"/>
    <w:tmpl w:val="4B5D48CE"/>
    <w:lvl w:ilvl="0" w:tentative="0">
      <w:start w:val="1"/>
      <w:numFmt w:val="chineseCountingThousand"/>
      <w:suff w:val="nothing"/>
      <w:lvlText w:val="%1、"/>
      <w:lvlJc w:val="left"/>
      <w:pPr>
        <w:ind w:left="439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68D20690"/>
    <w:multiLevelType w:val="multilevel"/>
    <w:tmpl w:val="68D2069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846"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6CFA0894"/>
    <w:multiLevelType w:val="multilevel"/>
    <w:tmpl w:val="6CFA0894"/>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0"/>
  </w:num>
  <w:num w:numId="3">
    <w:abstractNumId w:val="4"/>
  </w:num>
  <w:num w:numId="4">
    <w:abstractNumId w:val="1"/>
  </w:num>
  <w:num w:numId="5">
    <w:abstractNumId w:val="3"/>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2MTBmNjI4YzEyMTdmMjMwOTEyYzQxZGJlZDBjY2IifQ=="/>
  </w:docVars>
  <w:rsids>
    <w:rsidRoot w:val="00411BC4"/>
    <w:rsid w:val="000135D1"/>
    <w:rsid w:val="00022333"/>
    <w:rsid w:val="0003692A"/>
    <w:rsid w:val="00045FA8"/>
    <w:rsid w:val="000565EB"/>
    <w:rsid w:val="0006650C"/>
    <w:rsid w:val="00082D4F"/>
    <w:rsid w:val="000A6FF2"/>
    <w:rsid w:val="000B0A62"/>
    <w:rsid w:val="000B3E6F"/>
    <w:rsid w:val="000D11E4"/>
    <w:rsid w:val="000E3309"/>
    <w:rsid w:val="000F21A9"/>
    <w:rsid w:val="000F42BA"/>
    <w:rsid w:val="0010476B"/>
    <w:rsid w:val="001053DC"/>
    <w:rsid w:val="001201DA"/>
    <w:rsid w:val="0012429B"/>
    <w:rsid w:val="00134D2E"/>
    <w:rsid w:val="00150CA5"/>
    <w:rsid w:val="00162606"/>
    <w:rsid w:val="00164E9B"/>
    <w:rsid w:val="00175786"/>
    <w:rsid w:val="00182648"/>
    <w:rsid w:val="001A5F6F"/>
    <w:rsid w:val="001A7C70"/>
    <w:rsid w:val="001B1BE7"/>
    <w:rsid w:val="001C3CF0"/>
    <w:rsid w:val="001C4771"/>
    <w:rsid w:val="001E2B35"/>
    <w:rsid w:val="00206129"/>
    <w:rsid w:val="00206C93"/>
    <w:rsid w:val="002310C6"/>
    <w:rsid w:val="00240EAF"/>
    <w:rsid w:val="00277FD1"/>
    <w:rsid w:val="00284BF6"/>
    <w:rsid w:val="00285D34"/>
    <w:rsid w:val="00290FFC"/>
    <w:rsid w:val="002921B9"/>
    <w:rsid w:val="00294400"/>
    <w:rsid w:val="002D4BB3"/>
    <w:rsid w:val="002E1D7A"/>
    <w:rsid w:val="002E3081"/>
    <w:rsid w:val="002E5C68"/>
    <w:rsid w:val="002E6E36"/>
    <w:rsid w:val="002F08C8"/>
    <w:rsid w:val="002F6EB0"/>
    <w:rsid w:val="0031533A"/>
    <w:rsid w:val="00323D7D"/>
    <w:rsid w:val="00337A48"/>
    <w:rsid w:val="00343CAB"/>
    <w:rsid w:val="0035418D"/>
    <w:rsid w:val="0036139D"/>
    <w:rsid w:val="003645A6"/>
    <w:rsid w:val="003743A1"/>
    <w:rsid w:val="003810EC"/>
    <w:rsid w:val="0039395F"/>
    <w:rsid w:val="003B0F5C"/>
    <w:rsid w:val="00410B36"/>
    <w:rsid w:val="00411BC4"/>
    <w:rsid w:val="00425713"/>
    <w:rsid w:val="00431539"/>
    <w:rsid w:val="00436ECE"/>
    <w:rsid w:val="004A6C69"/>
    <w:rsid w:val="004B7F95"/>
    <w:rsid w:val="004D2D57"/>
    <w:rsid w:val="004F06C1"/>
    <w:rsid w:val="005033F9"/>
    <w:rsid w:val="0051377A"/>
    <w:rsid w:val="00542495"/>
    <w:rsid w:val="005751D1"/>
    <w:rsid w:val="0059410A"/>
    <w:rsid w:val="0059762C"/>
    <w:rsid w:val="005A04B4"/>
    <w:rsid w:val="005D4635"/>
    <w:rsid w:val="005E0681"/>
    <w:rsid w:val="005E3CC1"/>
    <w:rsid w:val="00621A09"/>
    <w:rsid w:val="00622C44"/>
    <w:rsid w:val="006478F2"/>
    <w:rsid w:val="006622DA"/>
    <w:rsid w:val="006809B2"/>
    <w:rsid w:val="00683588"/>
    <w:rsid w:val="006A0343"/>
    <w:rsid w:val="006C2226"/>
    <w:rsid w:val="006C35A8"/>
    <w:rsid w:val="006E03D7"/>
    <w:rsid w:val="006E1EF1"/>
    <w:rsid w:val="006F71FD"/>
    <w:rsid w:val="00710D70"/>
    <w:rsid w:val="00714371"/>
    <w:rsid w:val="00725997"/>
    <w:rsid w:val="00732F26"/>
    <w:rsid w:val="00750D7D"/>
    <w:rsid w:val="00752E56"/>
    <w:rsid w:val="00763F78"/>
    <w:rsid w:val="00797D9B"/>
    <w:rsid w:val="007A0C6B"/>
    <w:rsid w:val="007D761E"/>
    <w:rsid w:val="007E570F"/>
    <w:rsid w:val="007E7358"/>
    <w:rsid w:val="00813C5C"/>
    <w:rsid w:val="00815A82"/>
    <w:rsid w:val="00835725"/>
    <w:rsid w:val="00840033"/>
    <w:rsid w:val="00854AE4"/>
    <w:rsid w:val="00875225"/>
    <w:rsid w:val="00883759"/>
    <w:rsid w:val="008923BD"/>
    <w:rsid w:val="008A720D"/>
    <w:rsid w:val="008C28F8"/>
    <w:rsid w:val="008C3C0F"/>
    <w:rsid w:val="008C68C9"/>
    <w:rsid w:val="008D1344"/>
    <w:rsid w:val="008E2462"/>
    <w:rsid w:val="008F3B86"/>
    <w:rsid w:val="008F6B89"/>
    <w:rsid w:val="00907902"/>
    <w:rsid w:val="00916793"/>
    <w:rsid w:val="00957D16"/>
    <w:rsid w:val="00971EFF"/>
    <w:rsid w:val="009736CB"/>
    <w:rsid w:val="009835EF"/>
    <w:rsid w:val="00992D35"/>
    <w:rsid w:val="0099559B"/>
    <w:rsid w:val="009D6DD4"/>
    <w:rsid w:val="00A246F5"/>
    <w:rsid w:val="00A321C7"/>
    <w:rsid w:val="00A4662C"/>
    <w:rsid w:val="00A66829"/>
    <w:rsid w:val="00A76602"/>
    <w:rsid w:val="00AA1282"/>
    <w:rsid w:val="00AA2453"/>
    <w:rsid w:val="00AB7F47"/>
    <w:rsid w:val="00AC01B0"/>
    <w:rsid w:val="00AC182C"/>
    <w:rsid w:val="00AC6F37"/>
    <w:rsid w:val="00AD3983"/>
    <w:rsid w:val="00AE1200"/>
    <w:rsid w:val="00AE64E3"/>
    <w:rsid w:val="00AE7637"/>
    <w:rsid w:val="00B05D88"/>
    <w:rsid w:val="00B06B2C"/>
    <w:rsid w:val="00B13D4C"/>
    <w:rsid w:val="00B20E73"/>
    <w:rsid w:val="00B25E48"/>
    <w:rsid w:val="00B40E6F"/>
    <w:rsid w:val="00B61569"/>
    <w:rsid w:val="00B64195"/>
    <w:rsid w:val="00B65D19"/>
    <w:rsid w:val="00B7707E"/>
    <w:rsid w:val="00B809A9"/>
    <w:rsid w:val="00B94F32"/>
    <w:rsid w:val="00BA3E94"/>
    <w:rsid w:val="00BF3134"/>
    <w:rsid w:val="00BF40FF"/>
    <w:rsid w:val="00C0131A"/>
    <w:rsid w:val="00C02A54"/>
    <w:rsid w:val="00C05019"/>
    <w:rsid w:val="00C05642"/>
    <w:rsid w:val="00C14BFB"/>
    <w:rsid w:val="00C44185"/>
    <w:rsid w:val="00C5339C"/>
    <w:rsid w:val="00C62CAD"/>
    <w:rsid w:val="00C64E46"/>
    <w:rsid w:val="00C76024"/>
    <w:rsid w:val="00C90959"/>
    <w:rsid w:val="00C938D8"/>
    <w:rsid w:val="00CB451E"/>
    <w:rsid w:val="00CB6D8D"/>
    <w:rsid w:val="00CC3C41"/>
    <w:rsid w:val="00CC5F4C"/>
    <w:rsid w:val="00CE1DD3"/>
    <w:rsid w:val="00D24420"/>
    <w:rsid w:val="00D34E46"/>
    <w:rsid w:val="00D5415E"/>
    <w:rsid w:val="00D7305A"/>
    <w:rsid w:val="00D9316C"/>
    <w:rsid w:val="00DB5D6E"/>
    <w:rsid w:val="00DD1097"/>
    <w:rsid w:val="00DE024B"/>
    <w:rsid w:val="00E12171"/>
    <w:rsid w:val="00E21851"/>
    <w:rsid w:val="00E22D13"/>
    <w:rsid w:val="00E458E8"/>
    <w:rsid w:val="00E571E0"/>
    <w:rsid w:val="00E57EDE"/>
    <w:rsid w:val="00E723CD"/>
    <w:rsid w:val="00E76FC7"/>
    <w:rsid w:val="00E93B07"/>
    <w:rsid w:val="00EE2F2F"/>
    <w:rsid w:val="00EF3247"/>
    <w:rsid w:val="00EF3A44"/>
    <w:rsid w:val="00EF43D2"/>
    <w:rsid w:val="00EF7681"/>
    <w:rsid w:val="00F14379"/>
    <w:rsid w:val="00F3189A"/>
    <w:rsid w:val="00F32254"/>
    <w:rsid w:val="00F3367A"/>
    <w:rsid w:val="00F83E66"/>
    <w:rsid w:val="00FC4ECD"/>
    <w:rsid w:val="00FC510E"/>
    <w:rsid w:val="00FE01B0"/>
    <w:rsid w:val="00FF2D29"/>
    <w:rsid w:val="02921F90"/>
    <w:rsid w:val="06B17DED"/>
    <w:rsid w:val="070B125C"/>
    <w:rsid w:val="0A1F3C4C"/>
    <w:rsid w:val="0AEB5530"/>
    <w:rsid w:val="0C54568F"/>
    <w:rsid w:val="10775C30"/>
    <w:rsid w:val="117B3B60"/>
    <w:rsid w:val="161708AA"/>
    <w:rsid w:val="16F41113"/>
    <w:rsid w:val="1DB47078"/>
    <w:rsid w:val="2224138C"/>
    <w:rsid w:val="222608A0"/>
    <w:rsid w:val="23FC5410"/>
    <w:rsid w:val="26AC71A6"/>
    <w:rsid w:val="2E0F2D24"/>
    <w:rsid w:val="2F7838CE"/>
    <w:rsid w:val="37936580"/>
    <w:rsid w:val="422F0194"/>
    <w:rsid w:val="4259028E"/>
    <w:rsid w:val="468A0DE6"/>
    <w:rsid w:val="492C3D50"/>
    <w:rsid w:val="4B55440F"/>
    <w:rsid w:val="4F9071D6"/>
    <w:rsid w:val="4FD301DE"/>
    <w:rsid w:val="56DE7412"/>
    <w:rsid w:val="61127A0F"/>
    <w:rsid w:val="618E3A03"/>
    <w:rsid w:val="63147818"/>
    <w:rsid w:val="646F1658"/>
    <w:rsid w:val="68D7790C"/>
    <w:rsid w:val="6A6B466F"/>
    <w:rsid w:val="6CD76622"/>
    <w:rsid w:val="6DD218E2"/>
    <w:rsid w:val="70FA792B"/>
    <w:rsid w:val="71B17652"/>
    <w:rsid w:val="72E3559A"/>
    <w:rsid w:val="77273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0"/>
    <w:autoRedefine/>
    <w:unhideWhenUsed/>
    <w:qFormat/>
    <w:uiPriority w:val="99"/>
    <w:pPr>
      <w:jc w:val="left"/>
    </w:pPr>
    <w:rPr>
      <w:rFonts w:asciiTheme="minorHAnsi" w:hAnsiTheme="minorHAnsi" w:eastAsiaTheme="minorEastAsia" w:cstheme="minorBidi"/>
      <w:szCs w:val="22"/>
    </w:rPr>
  </w:style>
  <w:style w:type="paragraph" w:styleId="5">
    <w:name w:val="Body Text"/>
    <w:basedOn w:val="1"/>
    <w:link w:val="23"/>
    <w:autoRedefine/>
    <w:semiHidden/>
    <w:unhideWhenUsed/>
    <w:qFormat/>
    <w:uiPriority w:val="99"/>
    <w:pPr>
      <w:spacing w:after="120"/>
    </w:pPr>
  </w:style>
  <w:style w:type="paragraph" w:styleId="6">
    <w:name w:val="Block Text"/>
    <w:next w:val="5"/>
    <w:autoRedefine/>
    <w:qFormat/>
    <w:uiPriority w:val="0"/>
    <w:pPr>
      <w:widowControl w:val="0"/>
      <w:autoSpaceDE w:val="0"/>
      <w:autoSpaceDN w:val="0"/>
      <w:adjustRightInd w:val="0"/>
      <w:spacing w:line="360" w:lineRule="auto"/>
      <w:ind w:left="800" w:right="-55"/>
      <w:jc w:val="both"/>
      <w:textAlignment w:val="bottom"/>
    </w:pPr>
    <w:rPr>
      <w:rFonts w:ascii="宋体" w:hAnsi="Times New Roman" w:eastAsia="宋体" w:cs="Times New Roman"/>
      <w:spacing w:val="10"/>
      <w:sz w:val="24"/>
      <w:lang w:val="en-US" w:eastAsia="zh-CN" w:bidi="ar-SA"/>
    </w:rPr>
  </w:style>
  <w:style w:type="paragraph" w:styleId="7">
    <w:name w:val="Balloon Text"/>
    <w:basedOn w:val="1"/>
    <w:link w:val="29"/>
    <w:autoRedefine/>
    <w:semiHidden/>
    <w:unhideWhenUsed/>
    <w:qFormat/>
    <w:uiPriority w:val="99"/>
    <w:rPr>
      <w:sz w:val="18"/>
      <w:szCs w:val="18"/>
    </w:rPr>
  </w:style>
  <w:style w:type="paragraph" w:styleId="8">
    <w:name w:val="footer"/>
    <w:basedOn w:val="1"/>
    <w:link w:val="18"/>
    <w:autoRedefine/>
    <w:unhideWhenUsed/>
    <w:qFormat/>
    <w:uiPriority w:val="99"/>
    <w:pPr>
      <w:tabs>
        <w:tab w:val="center" w:pos="4153"/>
        <w:tab w:val="right" w:pos="8306"/>
      </w:tabs>
      <w:snapToGrid w:val="0"/>
      <w:jc w:val="left"/>
    </w:pPr>
    <w:rPr>
      <w:sz w:val="18"/>
      <w:szCs w:val="18"/>
    </w:rPr>
  </w:style>
  <w:style w:type="paragraph" w:styleId="9">
    <w:name w:val="header"/>
    <w:basedOn w:val="1"/>
    <w:link w:val="17"/>
    <w:autoRedefine/>
    <w:unhideWhenUsed/>
    <w:qFormat/>
    <w:uiPriority w:val="99"/>
    <w:pPr>
      <w:tabs>
        <w:tab w:val="center" w:pos="4153"/>
        <w:tab w:val="right" w:pos="8306"/>
      </w:tabs>
      <w:snapToGrid w:val="0"/>
      <w:jc w:val="center"/>
    </w:pPr>
    <w:rPr>
      <w:sz w:val="18"/>
      <w:szCs w:val="18"/>
    </w:rPr>
  </w:style>
  <w:style w:type="table" w:styleId="11">
    <w:name w:val="Table Grid"/>
    <w:basedOn w:val="10"/>
    <w:autoRedefine/>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unhideWhenUsed/>
    <w:qFormat/>
    <w:uiPriority w:val="99"/>
    <w:rPr>
      <w:color w:val="0563C1" w:themeColor="hyperlink"/>
      <w:u w:val="single"/>
      <w14:textFill>
        <w14:solidFill>
          <w14:schemeClr w14:val="hlink"/>
        </w14:solidFill>
      </w14:textFill>
    </w:rPr>
  </w:style>
  <w:style w:type="character" w:styleId="14">
    <w:name w:val="annotation reference"/>
    <w:basedOn w:val="12"/>
    <w:autoRedefine/>
    <w:semiHidden/>
    <w:unhideWhenUsed/>
    <w:qFormat/>
    <w:uiPriority w:val="99"/>
    <w:rPr>
      <w:sz w:val="21"/>
      <w:szCs w:val="21"/>
    </w:rPr>
  </w:style>
  <w:style w:type="paragraph" w:styleId="15">
    <w:name w:val="List Paragraph"/>
    <w:basedOn w:val="1"/>
    <w:link w:val="27"/>
    <w:autoRedefine/>
    <w:qFormat/>
    <w:uiPriority w:val="0"/>
    <w:pPr>
      <w:ind w:firstLine="420" w:firstLineChars="200"/>
    </w:pPr>
  </w:style>
  <w:style w:type="character" w:customStyle="1" w:styleId="16">
    <w:name w:val="标题 1 字符"/>
    <w:basedOn w:val="12"/>
    <w:link w:val="2"/>
    <w:autoRedefine/>
    <w:qFormat/>
    <w:uiPriority w:val="9"/>
    <w:rPr>
      <w:rFonts w:ascii="Times New Roman" w:hAnsi="Times New Roman" w:eastAsia="宋体" w:cs="Times New Roman"/>
      <w:b/>
      <w:bCs/>
      <w:kern w:val="44"/>
      <w:sz w:val="44"/>
      <w:szCs w:val="44"/>
    </w:rPr>
  </w:style>
  <w:style w:type="character" w:customStyle="1" w:styleId="17">
    <w:name w:val="页眉 字符"/>
    <w:basedOn w:val="12"/>
    <w:link w:val="9"/>
    <w:autoRedefine/>
    <w:qFormat/>
    <w:uiPriority w:val="99"/>
    <w:rPr>
      <w:rFonts w:ascii="Times New Roman" w:hAnsi="Times New Roman" w:eastAsia="宋体" w:cs="Times New Roman"/>
      <w:sz w:val="18"/>
      <w:szCs w:val="18"/>
    </w:rPr>
  </w:style>
  <w:style w:type="character" w:customStyle="1" w:styleId="18">
    <w:name w:val="页脚 字符"/>
    <w:basedOn w:val="12"/>
    <w:link w:val="8"/>
    <w:autoRedefine/>
    <w:qFormat/>
    <w:uiPriority w:val="99"/>
    <w:rPr>
      <w:rFonts w:ascii="Times New Roman" w:hAnsi="Times New Roman" w:eastAsia="宋体" w:cs="Times New Roman"/>
      <w:sz w:val="18"/>
      <w:szCs w:val="18"/>
    </w:rPr>
  </w:style>
  <w:style w:type="paragraph" w:customStyle="1" w:styleId="19">
    <w:name w:val="TOC 标题1"/>
    <w:basedOn w:val="2"/>
    <w:next w:val="1"/>
    <w:autoRedefine/>
    <w:unhideWhenUsed/>
    <w:qFormat/>
    <w:uiPriority w:val="39"/>
    <w:pPr>
      <w:widowControl/>
      <w:adjustRightInd w:val="0"/>
      <w:snapToGrid w:val="0"/>
      <w:spacing w:before="240" w:after="0" w:line="360" w:lineRule="auto"/>
      <w:jc w:val="left"/>
      <w:outlineLvl w:val="9"/>
    </w:pPr>
    <w:rPr>
      <w:rFonts w:ascii="仿宋" w:hAnsi="仿宋" w:eastAsia="仿宋" w:cstheme="majorBidi"/>
      <w:b w:val="0"/>
      <w:bCs w:val="0"/>
      <w:kern w:val="0"/>
      <w:sz w:val="24"/>
      <w:szCs w:val="24"/>
    </w:rPr>
  </w:style>
  <w:style w:type="character" w:customStyle="1" w:styleId="20">
    <w:name w:val="标题 2 字符"/>
    <w:basedOn w:val="12"/>
    <w:link w:val="3"/>
    <w:autoRedefine/>
    <w:qFormat/>
    <w:uiPriority w:val="9"/>
    <w:rPr>
      <w:rFonts w:asciiTheme="majorHAnsi" w:hAnsiTheme="majorHAnsi" w:eastAsiaTheme="majorEastAsia" w:cstheme="majorBidi"/>
      <w:b/>
      <w:bCs/>
      <w:kern w:val="2"/>
      <w:sz w:val="32"/>
      <w:szCs w:val="32"/>
    </w:rPr>
  </w:style>
  <w:style w:type="paragraph" w:customStyle="1" w:styleId="21">
    <w:name w:val="Normal_7_0"/>
    <w:autoRedefine/>
    <w:qFormat/>
    <w:uiPriority w:val="0"/>
    <w:pPr>
      <w:widowControl w:val="0"/>
      <w:jc w:val="both"/>
    </w:pPr>
    <w:rPr>
      <w:rFonts w:ascii="宋体" w:hAnsi="宋体" w:eastAsia="宋体" w:cs="宋体"/>
      <w:lang w:val="en-US" w:eastAsia="zh-CN" w:bidi="ar-SA"/>
    </w:rPr>
  </w:style>
  <w:style w:type="paragraph" w:customStyle="1" w:styleId="22">
    <w:name w:val="正文_0_0_0_0_1"/>
    <w:basedOn w:val="21"/>
    <w:autoRedefine/>
    <w:qFormat/>
    <w:uiPriority w:val="0"/>
    <w:rPr>
      <w:rFonts w:ascii="Times New Roman" w:hAnsi="Times New Roman" w:cs="Times New Roman"/>
      <w:sz w:val="24"/>
      <w:szCs w:val="24"/>
    </w:rPr>
  </w:style>
  <w:style w:type="character" w:customStyle="1" w:styleId="23">
    <w:name w:val="正文文本 字符"/>
    <w:basedOn w:val="12"/>
    <w:link w:val="5"/>
    <w:autoRedefine/>
    <w:semiHidden/>
    <w:qFormat/>
    <w:uiPriority w:val="99"/>
    <w:rPr>
      <w:rFonts w:ascii="Times New Roman" w:hAnsi="Times New Roman" w:eastAsia="宋体" w:cs="Times New Roman"/>
      <w:kern w:val="2"/>
      <w:sz w:val="21"/>
      <w:szCs w:val="24"/>
    </w:rPr>
  </w:style>
  <w:style w:type="paragraph" w:customStyle="1" w:styleId="24">
    <w:name w:val="正文_3_0"/>
    <w:autoRedefine/>
    <w:qFormat/>
    <w:uiPriority w:val="0"/>
    <w:pPr>
      <w:widowControl w:val="0"/>
      <w:jc w:val="both"/>
    </w:pPr>
    <w:rPr>
      <w:rFonts w:ascii="ZWAdobeF" w:hAnsi="ZWAdobeF" w:eastAsia="Cambria Math" w:cs="ZWAdobeF"/>
      <w:szCs w:val="24"/>
      <w:lang w:val="en-US" w:eastAsia="zh-CN" w:bidi="ar-SA"/>
    </w:rPr>
  </w:style>
  <w:style w:type="character" w:customStyle="1" w:styleId="25">
    <w:name w:val="明显强调1"/>
    <w:basedOn w:val="12"/>
    <w:autoRedefine/>
    <w:qFormat/>
    <w:uiPriority w:val="21"/>
    <w:rPr>
      <w:rFonts w:hint="eastAsia" w:ascii="宋体" w:hAnsi="宋体" w:eastAsia="宋体"/>
      <w:i/>
      <w:iCs/>
      <w:color w:val="FF0000"/>
      <w:sz w:val="21"/>
    </w:rPr>
  </w:style>
  <w:style w:type="paragraph" w:customStyle="1" w:styleId="26">
    <w:name w:val="Normal_2"/>
    <w:autoRedefine/>
    <w:qFormat/>
    <w:uiPriority w:val="0"/>
    <w:rPr>
      <w:rFonts w:ascii="Wingdings" w:hAnsi="Wingdings" w:eastAsia="宋体" w:cs="Wingdings"/>
      <w:sz w:val="24"/>
      <w:szCs w:val="24"/>
      <w:lang w:val="en-US" w:eastAsia="zh-CN" w:bidi="ar-SA"/>
    </w:rPr>
  </w:style>
  <w:style w:type="character" w:customStyle="1" w:styleId="27">
    <w:name w:val="列表段落 字符"/>
    <w:link w:val="15"/>
    <w:autoRedefine/>
    <w:qFormat/>
    <w:locked/>
    <w:uiPriority w:val="0"/>
    <w:rPr>
      <w:rFonts w:ascii="Times New Roman" w:hAnsi="Times New Roman" w:eastAsia="宋体" w:cs="Times New Roman"/>
      <w:kern w:val="2"/>
      <w:sz w:val="21"/>
      <w:szCs w:val="24"/>
    </w:rPr>
  </w:style>
  <w:style w:type="paragraph" w:customStyle="1" w:styleId="28">
    <w:name w:val="Normal_15_0"/>
    <w:basedOn w:val="1"/>
    <w:autoRedefine/>
    <w:qFormat/>
    <w:uiPriority w:val="0"/>
    <w:rPr>
      <w:rFonts w:ascii="宋体" w:hAnsi="宋体" w:cs="宋体"/>
      <w:kern w:val="0"/>
      <w:sz w:val="24"/>
    </w:rPr>
  </w:style>
  <w:style w:type="character" w:customStyle="1" w:styleId="29">
    <w:name w:val="批注框文本 字符"/>
    <w:basedOn w:val="12"/>
    <w:link w:val="7"/>
    <w:autoRedefine/>
    <w:semiHidden/>
    <w:qFormat/>
    <w:uiPriority w:val="99"/>
    <w:rPr>
      <w:rFonts w:ascii="Times New Roman" w:hAnsi="Times New Roman" w:eastAsia="宋体" w:cs="Times New Roman"/>
      <w:kern w:val="2"/>
      <w:sz w:val="18"/>
      <w:szCs w:val="18"/>
    </w:rPr>
  </w:style>
  <w:style w:type="character" w:customStyle="1" w:styleId="30">
    <w:name w:val="批注文字 字符"/>
    <w:basedOn w:val="12"/>
    <w:link w:val="4"/>
    <w:autoRedefine/>
    <w:qFormat/>
    <w:uiPriority w:val="99"/>
    <w:rPr>
      <w:kern w:val="2"/>
      <w:sz w:val="21"/>
      <w:szCs w:val="22"/>
    </w:rPr>
  </w:style>
  <w:style w:type="paragraph" w:customStyle="1" w:styleId="31">
    <w:name w:val="修订1"/>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wimxt.com</Company>
  <Pages>17</Pages>
  <Words>1840</Words>
  <Characters>1898</Characters>
  <Lines>53</Lines>
  <Paragraphs>14</Paragraphs>
  <TotalTime>0</TotalTime>
  <ScaleCrop>false</ScaleCrop>
  <LinksUpToDate>false</LinksUpToDate>
  <CharactersWithSpaces>1914</CharactersWithSpaces>
  <Application>WPS Office_12.8.2.19435_F1E327BC-269C-435d-A152-05C5408002CA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2025-01-11T17:14:00Z</dcterms:created>
  <dc:creator>朱柳柳</dc:creator>
  <cp:lastModifiedBy>毛鹏鸽1</cp:lastModifiedBy>
  <dcterms:modified xsi:type="dcterms:W3CDTF">2025-07-16T01:22:37Z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2052-12.8.2.19435</vt:lpwstr>
  </property>
  <property fmtid="{D5CDD505-2E9C-101B-9397-08002B2CF9AE}" pid="3" name="ICV">
    <vt:lpwstr>23BD446AA1024AB1B525262F9DFEA2CC_12</vt:lpwstr>
  </property>
  <property fmtid="{D5CDD505-2E9C-101B-9397-08002B2CF9AE}" pid="4" name="KSOTemplateDocerSaveRecord">
    <vt:lpwstr>eyJoZGlkIjoiNmYyOTBjMzljOTA1YTBiNjNiMjFiOTI1ZGNmN2VhZWYiLCJ1c2VySWQiOiI0NDk5NzM3NzkifQ==</vt:lpwstr>
  </property>
</Properties>
</file>