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9EFF">
      <w:pPr>
        <w:jc w:val="right"/>
        <w:rPr>
          <w:rFonts w:ascii="仿宋" w:hAnsi="仿宋" w:eastAsia="仿宋"/>
          <w:sz w:val="28"/>
          <w:szCs w:val="28"/>
        </w:rPr>
      </w:pPr>
      <w:r>
        <w:rPr>
          <w:rFonts w:hint="eastAsia" w:ascii="仿宋" w:hAnsi="仿宋" w:eastAsia="仿宋"/>
          <w:b/>
          <w:sz w:val="36"/>
          <w:szCs w:val="36"/>
        </w:rPr>
        <w:drawing>
          <wp:inline distT="0" distB="0" distL="0" distR="0">
            <wp:extent cx="2286000" cy="733425"/>
            <wp:effectExtent l="0" t="0" r="0" b="9525"/>
            <wp:docPr id="1" name="图片 1" desc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6000" cy="733425"/>
                    </a:xfrm>
                    <a:prstGeom prst="rect">
                      <a:avLst/>
                    </a:prstGeom>
                    <a:noFill/>
                    <a:ln>
                      <a:noFill/>
                    </a:ln>
                  </pic:spPr>
                </pic:pic>
              </a:graphicData>
            </a:graphic>
          </wp:inline>
        </w:drawing>
      </w:r>
    </w:p>
    <w:p w14:paraId="571FB19C">
      <w:pPr>
        <w:spacing w:before="312" w:beforeLines="100" w:after="312" w:afterLines="100"/>
        <w:jc w:val="center"/>
        <w:rPr>
          <w:rFonts w:ascii="仿宋" w:hAnsi="仿宋" w:eastAsia="仿宋"/>
          <w:sz w:val="28"/>
          <w:szCs w:val="28"/>
        </w:rPr>
      </w:pPr>
    </w:p>
    <w:p w14:paraId="3840F16C">
      <w:pPr>
        <w:spacing w:before="624" w:beforeLines="200" w:after="624" w:afterLines="200"/>
        <w:jc w:val="center"/>
        <w:rPr>
          <w:rFonts w:ascii="仿宋" w:hAnsi="仿宋" w:eastAsia="仿宋"/>
          <w:b/>
          <w:bCs/>
          <w:sz w:val="40"/>
          <w:szCs w:val="40"/>
          <w:u w:val="single"/>
        </w:rPr>
      </w:pPr>
      <w:r>
        <w:rPr>
          <w:rFonts w:hint="eastAsia" w:ascii="仿宋" w:hAnsi="仿宋" w:eastAsia="仿宋"/>
          <w:b/>
          <w:bCs/>
          <w:sz w:val="40"/>
          <w:szCs w:val="40"/>
          <w:highlight w:val="yellow"/>
          <w:u w:val="single"/>
        </w:rPr>
        <w:t>衡山路综合能源站安全类分析报告咨询项目</w:t>
      </w:r>
    </w:p>
    <w:p w14:paraId="2E3B62CD">
      <w:pPr>
        <w:spacing w:before="624" w:beforeLines="200" w:after="624" w:afterLines="200"/>
        <w:jc w:val="center"/>
        <w:rPr>
          <w:rFonts w:ascii="仿宋" w:hAnsi="仿宋" w:eastAsia="仿宋"/>
          <w:b/>
          <w:bCs/>
          <w:sz w:val="96"/>
          <w:szCs w:val="96"/>
        </w:rPr>
      </w:pPr>
      <w:r>
        <w:rPr>
          <w:rFonts w:hint="eastAsia" w:ascii="仿宋" w:hAnsi="仿宋" w:eastAsia="仿宋"/>
          <w:b/>
          <w:bCs/>
          <w:sz w:val="96"/>
          <w:szCs w:val="96"/>
        </w:rPr>
        <w:t>询价文件</w:t>
      </w:r>
    </w:p>
    <w:p w14:paraId="1ED9C325">
      <w:pPr>
        <w:spacing w:before="312" w:beforeLines="100" w:after="312" w:afterLines="100"/>
        <w:jc w:val="center"/>
        <w:rPr>
          <w:rFonts w:ascii="仿宋" w:hAnsi="仿宋" w:eastAsia="仿宋"/>
          <w:sz w:val="28"/>
          <w:szCs w:val="28"/>
        </w:rPr>
      </w:pPr>
    </w:p>
    <w:p w14:paraId="2FD38C01">
      <w:pPr>
        <w:spacing w:before="312" w:beforeLines="100" w:after="312" w:afterLines="100"/>
        <w:jc w:val="center"/>
        <w:rPr>
          <w:rFonts w:ascii="仿宋" w:hAnsi="仿宋" w:eastAsia="仿宋"/>
          <w:sz w:val="28"/>
          <w:szCs w:val="28"/>
        </w:rPr>
      </w:pPr>
    </w:p>
    <w:p w14:paraId="1B3D742D">
      <w:pPr>
        <w:spacing w:before="312" w:beforeLines="100" w:after="312" w:afterLines="100"/>
        <w:jc w:val="center"/>
        <w:rPr>
          <w:rFonts w:ascii="仿宋" w:hAnsi="仿宋" w:eastAsia="仿宋"/>
          <w:sz w:val="28"/>
          <w:szCs w:val="28"/>
        </w:rPr>
      </w:pPr>
    </w:p>
    <w:p w14:paraId="4D97F84F">
      <w:pPr>
        <w:spacing w:before="312" w:beforeLines="100" w:after="312" w:afterLines="100"/>
        <w:jc w:val="center"/>
        <w:rPr>
          <w:rFonts w:ascii="仿宋" w:hAnsi="仿宋" w:eastAsia="仿宋"/>
          <w:sz w:val="32"/>
          <w:szCs w:val="32"/>
          <w:highlight w:val="yellow"/>
        </w:rPr>
      </w:pPr>
      <w:r>
        <w:rPr>
          <w:rFonts w:hint="eastAsia" w:ascii="仿宋" w:hAnsi="仿宋" w:eastAsia="仿宋"/>
          <w:sz w:val="32"/>
          <w:szCs w:val="32"/>
          <w:highlight w:val="yellow"/>
        </w:rPr>
        <w:t>采购人：阜阳华润燃气有限公司</w:t>
      </w:r>
    </w:p>
    <w:p w14:paraId="1E2FDE08">
      <w:pPr>
        <w:spacing w:before="312" w:beforeLines="100" w:after="312" w:afterLines="100"/>
        <w:jc w:val="center"/>
        <w:rPr>
          <w:rFonts w:ascii="仿宋" w:hAnsi="仿宋" w:eastAsia="仿宋"/>
          <w:sz w:val="32"/>
          <w:szCs w:val="32"/>
          <w:highlight w:val="yellow"/>
        </w:rPr>
      </w:pPr>
      <w:r>
        <w:rPr>
          <w:rFonts w:hint="eastAsia" w:ascii="仿宋" w:hAnsi="仿宋" w:eastAsia="仿宋"/>
          <w:sz w:val="32"/>
          <w:szCs w:val="32"/>
          <w:highlight w:val="yellow"/>
        </w:rPr>
        <w:t>2024年</w:t>
      </w:r>
      <w:r>
        <w:rPr>
          <w:rFonts w:hint="eastAsia" w:ascii="仿宋" w:hAnsi="仿宋" w:eastAsia="仿宋"/>
          <w:sz w:val="32"/>
          <w:szCs w:val="32"/>
          <w:highlight w:val="yellow"/>
          <w:lang w:val="en-US" w:eastAsia="zh-CN"/>
        </w:rPr>
        <w:t>11</w:t>
      </w:r>
      <w:r>
        <w:rPr>
          <w:rFonts w:hint="eastAsia" w:ascii="仿宋" w:hAnsi="仿宋" w:eastAsia="仿宋"/>
          <w:sz w:val="32"/>
          <w:szCs w:val="32"/>
          <w:highlight w:val="yellow"/>
        </w:rPr>
        <w:t>月</w:t>
      </w:r>
      <w:r>
        <w:rPr>
          <w:rFonts w:hint="eastAsia" w:ascii="仿宋" w:hAnsi="仿宋" w:eastAsia="仿宋"/>
          <w:sz w:val="32"/>
          <w:szCs w:val="32"/>
          <w:highlight w:val="yellow"/>
          <w:lang w:val="en-US" w:eastAsia="zh-CN"/>
        </w:rPr>
        <w:t>13</w:t>
      </w:r>
      <w:r>
        <w:rPr>
          <w:rFonts w:hint="eastAsia" w:ascii="仿宋" w:hAnsi="仿宋" w:eastAsia="仿宋"/>
          <w:sz w:val="32"/>
          <w:szCs w:val="32"/>
          <w:highlight w:val="yellow"/>
        </w:rPr>
        <w:t>日</w:t>
      </w:r>
    </w:p>
    <w:p w14:paraId="5D68006A">
      <w:pPr>
        <w:widowControl/>
        <w:jc w:val="left"/>
        <w:rPr>
          <w:rFonts w:ascii="仿宋" w:hAnsi="仿宋" w:eastAsia="仿宋"/>
          <w:sz w:val="32"/>
          <w:szCs w:val="32"/>
        </w:rPr>
      </w:pPr>
      <w:r>
        <w:rPr>
          <w:rFonts w:ascii="仿宋" w:hAnsi="仿宋" w:eastAsia="仿宋"/>
          <w:sz w:val="32"/>
          <w:szCs w:val="32"/>
        </w:rPr>
        <w:br w:type="page"/>
      </w:r>
    </w:p>
    <w:p w14:paraId="34369E4B">
      <w:pPr>
        <w:autoSpaceDE w:val="0"/>
        <w:autoSpaceDN w:val="0"/>
        <w:adjustRightInd w:val="0"/>
        <w:jc w:val="center"/>
        <w:rPr>
          <w:rFonts w:ascii="仿宋" w:hAnsi="仿宋" w:eastAsia="仿宋" w:cs="华文中宋"/>
          <w:b/>
          <w:kern w:val="0"/>
          <w:sz w:val="32"/>
          <w:szCs w:val="32"/>
        </w:rPr>
      </w:pPr>
      <w:r>
        <w:rPr>
          <w:rFonts w:hint="eastAsia" w:ascii="仿宋" w:hAnsi="仿宋" w:eastAsia="仿宋" w:cs="华文中宋"/>
          <w:b/>
          <w:kern w:val="0"/>
          <w:sz w:val="32"/>
          <w:szCs w:val="32"/>
        </w:rPr>
        <w:t>阳光宣言</w:t>
      </w:r>
    </w:p>
    <w:p w14:paraId="1AC65ECA">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一、不以向华润员工及其亲属提供任何个人利益的方式谋求与华润的合作关系。</w:t>
      </w:r>
    </w:p>
    <w:p w14:paraId="42538EFB">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二、主动如实向华润通报是否与华润员工存在亲属关系，是否有华润离职员工担任重要岗位。</w:t>
      </w:r>
    </w:p>
    <w:p w14:paraId="4045BFFD">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三、不与华润员工就标底、其他单位的报价书等商业秘密及合同中的条款进行私下商谈或者达成默契。</w:t>
      </w:r>
    </w:p>
    <w:p w14:paraId="6AB9E894">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四、不与其它单位串通报价，不采取恶性竞争等不正当手段竞争业务。</w:t>
      </w:r>
    </w:p>
    <w:p w14:paraId="700BF294">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五、不向华润员工或其请托人、代理人提供好处费、回扣、现金及有价证券、支付凭证、贵重礼物。不向华润员工及其亲属提供可能影响其公正履行职务行为的宴请和娱乐、体育、休闲、旅游活动。</w:t>
      </w:r>
    </w:p>
    <w:p w14:paraId="6B6529B4">
      <w:pPr>
        <w:autoSpaceDE w:val="0"/>
        <w:autoSpaceDN w:val="0"/>
        <w:adjustRightInd w:val="0"/>
        <w:spacing w:before="240" w:line="360" w:lineRule="auto"/>
        <w:rPr>
          <w:rFonts w:ascii="仿宋" w:hAnsi="仿宋" w:eastAsia="仿宋"/>
          <w:b/>
          <w:bCs/>
          <w:sz w:val="24"/>
          <w:szCs w:val="24"/>
        </w:rPr>
      </w:pPr>
      <w:r>
        <w:rPr>
          <w:rFonts w:hint="eastAsia" w:ascii="仿宋" w:hAnsi="仿宋" w:eastAsia="仿宋" w:cs="仿宋_GB2312"/>
          <w:kern w:val="0"/>
          <w:sz w:val="24"/>
          <w:szCs w:val="24"/>
        </w:rPr>
        <w:t>六、发现本单位人员有向华润员工行贿倾向、建议或行为的，应予以制止、批评教育；发现华润员工有索贿、受贿行为的，应坚决拒绝，并向华润相关领导或纪检、审计监察部门举报。</w:t>
      </w:r>
    </w:p>
    <w:p w14:paraId="77C85EF4">
      <w:pPr>
        <w:widowControl/>
        <w:jc w:val="left"/>
        <w:rPr>
          <w:rFonts w:ascii="仿宋" w:hAnsi="仿宋" w:eastAsia="仿宋"/>
          <w:b/>
          <w:bCs/>
          <w:sz w:val="52"/>
        </w:rPr>
      </w:pPr>
      <w:r>
        <w:rPr>
          <w:rFonts w:ascii="仿宋" w:hAnsi="仿宋" w:eastAsia="仿宋"/>
          <w:b/>
          <w:bCs/>
          <w:sz w:val="52"/>
        </w:rPr>
        <w:br w:type="page"/>
      </w:r>
    </w:p>
    <w:p w14:paraId="6CA38794">
      <w:pPr>
        <w:autoSpaceDE w:val="0"/>
        <w:autoSpaceDN w:val="0"/>
        <w:adjustRightInd w:val="0"/>
        <w:jc w:val="center"/>
        <w:rPr>
          <w:rFonts w:ascii="仿宋" w:hAnsi="仿宋" w:eastAsia="仿宋" w:cs="华文中宋"/>
          <w:b/>
          <w:kern w:val="0"/>
          <w:sz w:val="32"/>
          <w:szCs w:val="32"/>
        </w:rPr>
      </w:pPr>
      <w:r>
        <w:rPr>
          <w:rFonts w:hint="eastAsia" w:ascii="仿宋" w:hAnsi="仿宋" w:eastAsia="仿宋" w:cs="华文中宋"/>
          <w:b/>
          <w:kern w:val="0"/>
          <w:sz w:val="32"/>
          <w:szCs w:val="32"/>
        </w:rPr>
        <w:t>廉洁从业准则</w:t>
      </w:r>
    </w:p>
    <w:p w14:paraId="03FD610D">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一、不得在采购过程中为个人及其亲属谋取私利。</w:t>
      </w:r>
    </w:p>
    <w:p w14:paraId="1EB46919">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二、不得向响应单位泄露标底、其它响应单位报价等商业秘密及合同中的质量、价格等条款。</w:t>
      </w:r>
    </w:p>
    <w:p w14:paraId="01B856F9">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三、不得收受响应单位的好处费、回扣、现金及有价证券、支付凭证、贵重礼物等。</w:t>
      </w:r>
    </w:p>
    <w:p w14:paraId="54E0630F">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四、不得接收响应单位的宴请和娱乐、体育、休闲、旅游活动等。</w:t>
      </w:r>
    </w:p>
    <w:p w14:paraId="085FF8B6">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五、不得在响应单位报销任何费用。</w:t>
      </w:r>
    </w:p>
    <w:p w14:paraId="0BB0E764">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六、不得接收响应单位任何名义的住房、交通工具、通讯工具、家电、高档办公用品等物品。</w:t>
      </w:r>
    </w:p>
    <w:p w14:paraId="584774D5">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七、不得接收响应单位的家庭装修、婚丧嫁娶、工作安排、出国、留学等资金或物资资助。</w:t>
      </w:r>
    </w:p>
    <w:p w14:paraId="41213662">
      <w:pPr>
        <w:autoSpaceDE w:val="0"/>
        <w:autoSpaceDN w:val="0"/>
        <w:adjustRightInd w:val="0"/>
        <w:spacing w:before="240" w:line="360" w:lineRule="auto"/>
        <w:rPr>
          <w:rFonts w:ascii="仿宋" w:hAnsi="仿宋" w:eastAsia="仿宋" w:cs="仿宋_GB2312"/>
          <w:kern w:val="0"/>
          <w:sz w:val="24"/>
          <w:szCs w:val="24"/>
        </w:rPr>
      </w:pPr>
      <w:r>
        <w:rPr>
          <w:rFonts w:hint="eastAsia" w:ascii="仿宋" w:hAnsi="仿宋" w:eastAsia="仿宋" w:cs="仿宋_GB2312"/>
          <w:kern w:val="0"/>
          <w:sz w:val="24"/>
          <w:szCs w:val="24"/>
        </w:rPr>
        <w:t>八、采购工作人员如有亲属在报价单位工作的，应在该项采购活动中予以回避。</w:t>
      </w:r>
    </w:p>
    <w:p w14:paraId="4E8E1BD1">
      <w:pPr>
        <w:spacing w:before="240"/>
        <w:ind w:firstLine="2880" w:firstLineChars="900"/>
        <w:rPr>
          <w:rFonts w:ascii="仿宋" w:hAnsi="仿宋" w:eastAsia="仿宋"/>
          <w:sz w:val="32"/>
        </w:rPr>
      </w:pPr>
    </w:p>
    <w:p w14:paraId="566BED81">
      <w:pPr>
        <w:spacing w:before="312" w:beforeLines="100" w:after="312" w:afterLines="100"/>
        <w:jc w:val="center"/>
        <w:rPr>
          <w:rFonts w:ascii="仿宋" w:hAnsi="仿宋" w:eastAsia="仿宋"/>
          <w:sz w:val="28"/>
          <w:szCs w:val="28"/>
        </w:rPr>
      </w:pPr>
      <w:r>
        <w:rPr>
          <w:rFonts w:ascii="仿宋" w:hAnsi="仿宋" w:eastAsia="仿宋"/>
          <w:sz w:val="28"/>
          <w:szCs w:val="28"/>
        </w:rPr>
        <w:br w:type="page"/>
      </w:r>
    </w:p>
    <w:p w14:paraId="0BFDE13C">
      <w:pPr>
        <w:spacing w:before="312" w:beforeLines="100" w:after="312" w:afterLines="100"/>
        <w:jc w:val="center"/>
        <w:rPr>
          <w:rFonts w:ascii="仿宋" w:hAnsi="仿宋" w:eastAsia="仿宋"/>
          <w:sz w:val="28"/>
          <w:szCs w:val="28"/>
        </w:rPr>
      </w:pPr>
    </w:p>
    <w:p w14:paraId="567AAB74">
      <w:pPr>
        <w:spacing w:after="312" w:afterLines="100"/>
        <w:jc w:val="center"/>
        <w:outlineLvl w:val="0"/>
        <w:rPr>
          <w:rFonts w:ascii="仿宋" w:hAnsi="仿宋" w:eastAsia="仿宋"/>
          <w:b/>
          <w:bCs/>
          <w:sz w:val="32"/>
          <w:szCs w:val="32"/>
        </w:rPr>
      </w:pPr>
      <w:r>
        <w:rPr>
          <w:rFonts w:hint="eastAsia" w:ascii="仿宋" w:hAnsi="仿宋" w:eastAsia="仿宋"/>
          <w:b/>
          <w:bCs/>
          <w:sz w:val="32"/>
          <w:szCs w:val="32"/>
        </w:rPr>
        <w:t>第一卷 供应商须知前附表</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75"/>
        <w:gridCol w:w="5475"/>
      </w:tblGrid>
      <w:tr w14:paraId="1FE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46" w:type="dxa"/>
            <w:vAlign w:val="center"/>
          </w:tcPr>
          <w:p w14:paraId="7313516D">
            <w:pPr>
              <w:jc w:val="center"/>
              <w:rPr>
                <w:rFonts w:ascii="仿宋" w:hAnsi="仿宋" w:eastAsia="仿宋"/>
                <w:b/>
                <w:bCs/>
                <w:sz w:val="28"/>
                <w:szCs w:val="28"/>
              </w:rPr>
            </w:pPr>
            <w:r>
              <w:rPr>
                <w:rFonts w:hint="eastAsia" w:ascii="仿宋" w:hAnsi="仿宋" w:eastAsia="仿宋"/>
                <w:b/>
                <w:bCs/>
                <w:sz w:val="28"/>
                <w:szCs w:val="28"/>
              </w:rPr>
              <w:t>序号</w:t>
            </w:r>
          </w:p>
        </w:tc>
        <w:tc>
          <w:tcPr>
            <w:tcW w:w="1975" w:type="dxa"/>
            <w:vAlign w:val="center"/>
          </w:tcPr>
          <w:p w14:paraId="46F2C87D">
            <w:pPr>
              <w:jc w:val="center"/>
              <w:rPr>
                <w:rFonts w:ascii="仿宋" w:hAnsi="仿宋" w:eastAsia="仿宋"/>
                <w:b/>
                <w:bCs/>
                <w:sz w:val="28"/>
                <w:szCs w:val="28"/>
              </w:rPr>
            </w:pPr>
            <w:r>
              <w:rPr>
                <w:rFonts w:hint="eastAsia" w:ascii="仿宋" w:hAnsi="仿宋" w:eastAsia="仿宋"/>
                <w:b/>
                <w:bCs/>
                <w:sz w:val="28"/>
                <w:szCs w:val="28"/>
              </w:rPr>
              <w:t>名称</w:t>
            </w:r>
          </w:p>
        </w:tc>
        <w:tc>
          <w:tcPr>
            <w:tcW w:w="5475" w:type="dxa"/>
            <w:vAlign w:val="center"/>
          </w:tcPr>
          <w:p w14:paraId="1B524951">
            <w:pPr>
              <w:jc w:val="center"/>
              <w:rPr>
                <w:rFonts w:ascii="仿宋" w:hAnsi="仿宋" w:eastAsia="仿宋"/>
                <w:b/>
                <w:bCs/>
                <w:sz w:val="28"/>
                <w:szCs w:val="28"/>
              </w:rPr>
            </w:pPr>
            <w:r>
              <w:rPr>
                <w:rFonts w:hint="eastAsia" w:ascii="仿宋" w:hAnsi="仿宋" w:eastAsia="仿宋"/>
                <w:b/>
                <w:bCs/>
                <w:sz w:val="28"/>
                <w:szCs w:val="28"/>
              </w:rPr>
              <w:t>内容</w:t>
            </w:r>
          </w:p>
        </w:tc>
      </w:tr>
      <w:tr w14:paraId="20EA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10DAC5C">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F514337">
            <w:pPr>
              <w:spacing w:line="360" w:lineRule="auto"/>
              <w:jc w:val="center"/>
              <w:rPr>
                <w:rFonts w:ascii="仿宋" w:hAnsi="仿宋" w:eastAsia="仿宋"/>
                <w:sz w:val="24"/>
                <w:szCs w:val="24"/>
              </w:rPr>
            </w:pPr>
            <w:r>
              <w:rPr>
                <w:rFonts w:hint="eastAsia" w:ascii="仿宋" w:hAnsi="仿宋" w:eastAsia="仿宋"/>
                <w:sz w:val="24"/>
                <w:szCs w:val="24"/>
              </w:rPr>
              <w:t>采购人</w:t>
            </w:r>
          </w:p>
        </w:tc>
        <w:tc>
          <w:tcPr>
            <w:tcW w:w="5475" w:type="dxa"/>
            <w:vAlign w:val="center"/>
          </w:tcPr>
          <w:p w14:paraId="433043F9">
            <w:pPr>
              <w:spacing w:line="360" w:lineRule="auto"/>
              <w:rPr>
                <w:rFonts w:ascii="仿宋" w:hAnsi="仿宋" w:eastAsia="仿宋"/>
                <w:sz w:val="24"/>
                <w:szCs w:val="24"/>
              </w:rPr>
            </w:pPr>
            <w:r>
              <w:rPr>
                <w:rFonts w:hint="eastAsia" w:ascii="仿宋" w:hAnsi="仿宋" w:eastAsia="仿宋"/>
                <w:sz w:val="24"/>
                <w:szCs w:val="24"/>
              </w:rPr>
              <w:t>名称：阜阳华润燃气有限公司</w:t>
            </w:r>
          </w:p>
          <w:p w14:paraId="77031FD3">
            <w:pPr>
              <w:spacing w:line="360" w:lineRule="auto"/>
              <w:rPr>
                <w:rFonts w:ascii="仿宋" w:hAnsi="仿宋" w:eastAsia="仿宋"/>
                <w:sz w:val="24"/>
                <w:szCs w:val="24"/>
              </w:rPr>
            </w:pPr>
            <w:r>
              <w:rPr>
                <w:rFonts w:hint="eastAsia" w:ascii="仿宋" w:hAnsi="仿宋" w:eastAsia="仿宋"/>
                <w:sz w:val="24"/>
                <w:szCs w:val="24"/>
              </w:rPr>
              <w:t>地址：安徽省阜阳市颍州区阜合产业园翡翠湖路17号</w:t>
            </w:r>
          </w:p>
          <w:p w14:paraId="5C82239F">
            <w:pPr>
              <w:spacing w:line="360" w:lineRule="auto"/>
              <w:rPr>
                <w:rFonts w:ascii="仿宋" w:hAnsi="仿宋" w:eastAsia="仿宋"/>
                <w:sz w:val="24"/>
                <w:szCs w:val="24"/>
              </w:rPr>
            </w:pPr>
            <w:r>
              <w:rPr>
                <w:rFonts w:hint="eastAsia" w:ascii="仿宋" w:hAnsi="仿宋" w:eastAsia="仿宋"/>
                <w:sz w:val="24"/>
                <w:szCs w:val="24"/>
              </w:rPr>
              <w:t>联系人：徐智龙</w:t>
            </w:r>
          </w:p>
          <w:p w14:paraId="78DF5E7B">
            <w:pPr>
              <w:spacing w:line="360" w:lineRule="auto"/>
              <w:rPr>
                <w:rFonts w:ascii="仿宋" w:hAnsi="仿宋" w:eastAsia="仿宋"/>
                <w:sz w:val="24"/>
                <w:szCs w:val="24"/>
              </w:rPr>
            </w:pPr>
            <w:r>
              <w:rPr>
                <w:rFonts w:hint="eastAsia" w:ascii="仿宋" w:hAnsi="仿宋" w:eastAsia="仿宋"/>
                <w:sz w:val="24"/>
                <w:szCs w:val="24"/>
              </w:rPr>
              <w:t>联系电话：18756882006</w:t>
            </w:r>
          </w:p>
        </w:tc>
      </w:tr>
      <w:tr w14:paraId="49C9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F348EDC">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8D2BD1B">
            <w:pPr>
              <w:spacing w:line="360" w:lineRule="auto"/>
              <w:jc w:val="center"/>
              <w:rPr>
                <w:rFonts w:ascii="仿宋" w:hAnsi="仿宋" w:eastAsia="仿宋"/>
                <w:sz w:val="24"/>
                <w:szCs w:val="24"/>
              </w:rPr>
            </w:pPr>
            <w:r>
              <w:rPr>
                <w:rFonts w:hint="eastAsia" w:ascii="仿宋" w:hAnsi="仿宋" w:eastAsia="仿宋"/>
                <w:sz w:val="24"/>
                <w:szCs w:val="24"/>
              </w:rPr>
              <w:t>采购方式</w:t>
            </w:r>
          </w:p>
        </w:tc>
        <w:tc>
          <w:tcPr>
            <w:tcW w:w="5475" w:type="dxa"/>
            <w:vAlign w:val="center"/>
          </w:tcPr>
          <w:p w14:paraId="177D2B19">
            <w:pPr>
              <w:spacing w:line="360" w:lineRule="auto"/>
              <w:rPr>
                <w:rFonts w:ascii="仿宋" w:hAnsi="仿宋" w:eastAsia="仿宋"/>
                <w:sz w:val="24"/>
                <w:szCs w:val="24"/>
              </w:rPr>
            </w:pPr>
            <w:r>
              <w:rPr>
                <w:rFonts w:hint="eastAsia" w:ascii="仿宋" w:hAnsi="仿宋" w:eastAsia="仿宋"/>
                <w:sz w:val="24"/>
                <w:szCs w:val="24"/>
                <w:highlight w:val="none"/>
              </w:rPr>
              <w:t>公开询价</w:t>
            </w:r>
          </w:p>
        </w:tc>
      </w:tr>
      <w:tr w14:paraId="3233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9BBA4CC">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5BABC51F">
            <w:pPr>
              <w:spacing w:line="360" w:lineRule="auto"/>
              <w:jc w:val="center"/>
              <w:rPr>
                <w:rFonts w:ascii="仿宋" w:hAnsi="仿宋" w:eastAsia="仿宋"/>
                <w:sz w:val="24"/>
                <w:szCs w:val="24"/>
              </w:rPr>
            </w:pPr>
            <w:r>
              <w:rPr>
                <w:rFonts w:hint="eastAsia" w:ascii="仿宋" w:hAnsi="仿宋" w:eastAsia="仿宋"/>
                <w:sz w:val="24"/>
                <w:szCs w:val="24"/>
              </w:rPr>
              <w:t>采购范围</w:t>
            </w:r>
          </w:p>
        </w:tc>
        <w:tc>
          <w:tcPr>
            <w:tcW w:w="5475" w:type="dxa"/>
            <w:vAlign w:val="center"/>
          </w:tcPr>
          <w:p w14:paraId="5FC50DCC">
            <w:p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咨询服务</w:t>
            </w:r>
          </w:p>
        </w:tc>
      </w:tr>
      <w:tr w14:paraId="7D7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5442DEA">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888D2A9">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工期/交货期/服务期</w:t>
            </w:r>
          </w:p>
        </w:tc>
        <w:tc>
          <w:tcPr>
            <w:tcW w:w="5475" w:type="dxa"/>
            <w:vAlign w:val="center"/>
          </w:tcPr>
          <w:p w14:paraId="69EC7EB9">
            <w:pPr>
              <w:spacing w:line="360" w:lineRule="auto"/>
              <w:rPr>
                <w:rFonts w:hint="default" w:ascii="仿宋" w:hAnsi="仿宋" w:eastAsia="仿宋"/>
                <w:sz w:val="24"/>
                <w:szCs w:val="24"/>
                <w:lang w:val="en-US" w:eastAsia="zh-CN"/>
              </w:rPr>
            </w:pPr>
            <w:r>
              <w:rPr>
                <w:rFonts w:hint="eastAsia" w:ascii="仿宋" w:hAnsi="仿宋" w:eastAsia="仿宋"/>
                <w:sz w:val="24"/>
                <w:szCs w:val="24"/>
              </w:rPr>
              <w:t>合同签订后</w:t>
            </w:r>
            <w:r>
              <w:rPr>
                <w:rFonts w:hint="eastAsia" w:ascii="仿宋" w:hAnsi="仿宋" w:eastAsia="仿宋"/>
                <w:sz w:val="24"/>
                <w:szCs w:val="24"/>
                <w:lang w:val="en-US" w:eastAsia="zh-CN"/>
              </w:rPr>
              <w:t>10</w:t>
            </w:r>
            <w:r>
              <w:rPr>
                <w:rFonts w:hint="eastAsia" w:ascii="仿宋" w:hAnsi="仿宋" w:eastAsia="仿宋"/>
                <w:sz w:val="24"/>
                <w:szCs w:val="24"/>
              </w:rPr>
              <w:t>天内</w:t>
            </w:r>
            <w:r>
              <w:rPr>
                <w:rFonts w:hint="eastAsia" w:ascii="仿宋" w:hAnsi="仿宋" w:eastAsia="仿宋"/>
                <w:sz w:val="24"/>
                <w:szCs w:val="24"/>
                <w:lang w:val="en-US" w:eastAsia="zh-CN"/>
              </w:rPr>
              <w:t>交付成果</w:t>
            </w:r>
          </w:p>
        </w:tc>
      </w:tr>
      <w:tr w14:paraId="595C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43D7DB1">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23087BA">
            <w:pPr>
              <w:spacing w:line="360" w:lineRule="auto"/>
              <w:jc w:val="center"/>
              <w:rPr>
                <w:rFonts w:ascii="仿宋" w:hAnsi="仿宋" w:eastAsia="仿宋"/>
                <w:sz w:val="24"/>
                <w:szCs w:val="24"/>
                <w:highlight w:val="none"/>
              </w:rPr>
            </w:pPr>
            <w:r>
              <w:rPr>
                <w:rFonts w:ascii="仿宋" w:hAnsi="仿宋" w:eastAsia="仿宋"/>
                <w:sz w:val="24"/>
                <w:szCs w:val="24"/>
                <w:highlight w:val="none"/>
              </w:rPr>
              <w:t>建设地点/</w:t>
            </w:r>
            <w:r>
              <w:rPr>
                <w:rFonts w:hint="eastAsia" w:ascii="仿宋" w:hAnsi="仿宋" w:eastAsia="仿宋"/>
                <w:sz w:val="24"/>
                <w:szCs w:val="24"/>
                <w:highlight w:val="none"/>
              </w:rPr>
              <w:t>交货地点</w:t>
            </w:r>
            <w:r>
              <w:rPr>
                <w:rFonts w:ascii="仿宋" w:hAnsi="仿宋" w:eastAsia="仿宋"/>
                <w:sz w:val="24"/>
                <w:szCs w:val="24"/>
                <w:highlight w:val="none"/>
              </w:rPr>
              <w:t>/服务地点</w:t>
            </w:r>
          </w:p>
        </w:tc>
        <w:tc>
          <w:tcPr>
            <w:tcW w:w="5475" w:type="dxa"/>
            <w:vAlign w:val="center"/>
          </w:tcPr>
          <w:p w14:paraId="52B7531C">
            <w:pPr>
              <w:spacing w:line="360" w:lineRule="auto"/>
              <w:rPr>
                <w:rFonts w:hint="default" w:ascii="仿宋" w:hAnsi="仿宋" w:eastAsia="仿宋"/>
                <w:sz w:val="24"/>
                <w:szCs w:val="24"/>
                <w:lang w:val="en-US" w:eastAsia="zh-CN"/>
              </w:rPr>
            </w:pPr>
            <w:r>
              <w:rPr>
                <w:rFonts w:hint="eastAsia" w:ascii="仿宋" w:hAnsi="仿宋" w:eastAsia="仿宋"/>
                <w:sz w:val="24"/>
                <w:szCs w:val="24"/>
              </w:rPr>
              <w:t>阜阳华润燃气有限公司</w:t>
            </w:r>
            <w:r>
              <w:rPr>
                <w:rFonts w:hint="eastAsia" w:ascii="仿宋" w:hAnsi="仿宋" w:eastAsia="仿宋"/>
                <w:sz w:val="24"/>
                <w:szCs w:val="24"/>
                <w:lang w:val="en-US" w:eastAsia="zh-CN"/>
              </w:rPr>
              <w:t>衡山路综合能源站</w:t>
            </w:r>
          </w:p>
        </w:tc>
      </w:tr>
      <w:tr w14:paraId="350C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11FBA0B">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3A4D91FF">
            <w:pPr>
              <w:spacing w:line="360" w:lineRule="auto"/>
              <w:jc w:val="center"/>
              <w:rPr>
                <w:rFonts w:ascii="仿宋" w:hAnsi="仿宋" w:eastAsia="仿宋"/>
                <w:sz w:val="24"/>
                <w:szCs w:val="24"/>
              </w:rPr>
            </w:pPr>
            <w:r>
              <w:rPr>
                <w:rFonts w:hint="eastAsia" w:ascii="仿宋" w:hAnsi="仿宋" w:eastAsia="仿宋"/>
                <w:sz w:val="24"/>
                <w:szCs w:val="24"/>
              </w:rPr>
              <w:t>质量要求</w:t>
            </w:r>
          </w:p>
        </w:tc>
        <w:tc>
          <w:tcPr>
            <w:tcW w:w="5475" w:type="dxa"/>
            <w:vAlign w:val="center"/>
          </w:tcPr>
          <w:p w14:paraId="212861DD">
            <w:pPr>
              <w:spacing w:line="360" w:lineRule="auto"/>
              <w:rPr>
                <w:rFonts w:ascii="仿宋" w:hAnsi="仿宋" w:eastAsia="仿宋"/>
                <w:sz w:val="24"/>
                <w:szCs w:val="24"/>
              </w:rPr>
            </w:pPr>
            <w:r>
              <w:rPr>
                <w:rFonts w:hint="eastAsia" w:ascii="仿宋" w:hAnsi="仿宋" w:eastAsia="仿宋"/>
                <w:sz w:val="24"/>
                <w:szCs w:val="24"/>
              </w:rPr>
              <w:t>/</w:t>
            </w:r>
          </w:p>
        </w:tc>
      </w:tr>
      <w:tr w14:paraId="1D10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B5D8E22">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38A44D6D">
            <w:pPr>
              <w:spacing w:line="360" w:lineRule="auto"/>
              <w:jc w:val="center"/>
              <w:rPr>
                <w:rFonts w:ascii="仿宋" w:hAnsi="仿宋" w:eastAsia="仿宋"/>
                <w:sz w:val="24"/>
                <w:szCs w:val="24"/>
              </w:rPr>
            </w:pPr>
            <w:r>
              <w:rPr>
                <w:rFonts w:hint="eastAsia" w:ascii="仿宋" w:hAnsi="仿宋" w:eastAsia="仿宋"/>
                <w:sz w:val="24"/>
                <w:szCs w:val="24"/>
              </w:rPr>
              <w:t>安全要求</w:t>
            </w:r>
          </w:p>
        </w:tc>
        <w:tc>
          <w:tcPr>
            <w:tcW w:w="5475" w:type="dxa"/>
            <w:vAlign w:val="center"/>
          </w:tcPr>
          <w:p w14:paraId="429A8A05">
            <w:pPr>
              <w:spacing w:line="360" w:lineRule="auto"/>
              <w:rPr>
                <w:rFonts w:ascii="仿宋" w:hAnsi="仿宋" w:eastAsia="仿宋"/>
                <w:sz w:val="24"/>
                <w:szCs w:val="24"/>
              </w:rPr>
            </w:pPr>
            <w:r>
              <w:rPr>
                <w:rFonts w:hint="eastAsia" w:ascii="仿宋" w:hAnsi="仿宋" w:eastAsia="仿宋"/>
                <w:sz w:val="24"/>
                <w:szCs w:val="24"/>
              </w:rPr>
              <w:t>/</w:t>
            </w:r>
          </w:p>
        </w:tc>
      </w:tr>
      <w:tr w14:paraId="2D9C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2E0F95">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E87AA39">
            <w:pPr>
              <w:spacing w:line="360" w:lineRule="auto"/>
              <w:jc w:val="center"/>
              <w:rPr>
                <w:rFonts w:ascii="仿宋" w:hAnsi="仿宋" w:eastAsia="仿宋"/>
                <w:sz w:val="24"/>
                <w:szCs w:val="24"/>
                <w:highlight w:val="yellow"/>
              </w:rPr>
            </w:pPr>
            <w:r>
              <w:rPr>
                <w:rFonts w:hint="eastAsia" w:ascii="仿宋" w:hAnsi="仿宋" w:eastAsia="仿宋"/>
                <w:sz w:val="24"/>
                <w:szCs w:val="24"/>
              </w:rPr>
              <w:t>现场踏勘</w:t>
            </w:r>
          </w:p>
        </w:tc>
        <w:tc>
          <w:tcPr>
            <w:tcW w:w="5475" w:type="dxa"/>
            <w:vAlign w:val="center"/>
          </w:tcPr>
          <w:p w14:paraId="53BF7580">
            <w:pPr>
              <w:spacing w:line="360" w:lineRule="auto"/>
              <w:rPr>
                <w:rFonts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rPr>
              <w:t>不组织</w:t>
            </w:r>
          </w:p>
          <w:p w14:paraId="08250F19">
            <w:pPr>
              <w:spacing w:line="360" w:lineRule="auto"/>
              <w:rPr>
                <w:rFonts w:ascii="仿宋" w:hAnsi="仿宋" w:eastAsia="仿宋"/>
                <w:sz w:val="24"/>
                <w:szCs w:val="24"/>
                <w:u w:val="single"/>
              </w:rPr>
            </w:pPr>
            <w:r>
              <w:rPr>
                <w:rFonts w:hint="eastAsia" w:ascii="仿宋" w:hAnsi="仿宋" w:eastAsia="仿宋"/>
                <w:sz w:val="24"/>
                <w:szCs w:val="24"/>
                <w:lang w:eastAsia="zh-CN"/>
              </w:rPr>
              <w:t>□</w:t>
            </w:r>
            <w:r>
              <w:rPr>
                <w:rFonts w:hint="eastAsia" w:ascii="仿宋" w:hAnsi="仿宋" w:eastAsia="仿宋"/>
                <w:sz w:val="24"/>
                <w:szCs w:val="24"/>
              </w:rPr>
              <w:t>组织，</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由响应单位自行前往，截止时间为报价截止日。</w:t>
            </w:r>
            <w:r>
              <w:rPr>
                <w:rFonts w:ascii="仿宋" w:hAnsi="仿宋" w:eastAsia="仿宋"/>
                <w:sz w:val="24"/>
                <w:szCs w:val="24"/>
                <w:u w:val="single"/>
              </w:rPr>
              <w:t xml:space="preserve">     </w:t>
            </w:r>
          </w:p>
        </w:tc>
      </w:tr>
      <w:tr w14:paraId="5F02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301209">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ABA00E4">
            <w:pPr>
              <w:spacing w:line="360" w:lineRule="auto"/>
              <w:jc w:val="center"/>
              <w:rPr>
                <w:rFonts w:ascii="仿宋" w:hAnsi="仿宋" w:eastAsia="仿宋"/>
                <w:sz w:val="24"/>
                <w:szCs w:val="24"/>
                <w:highlight w:val="yellow"/>
              </w:rPr>
            </w:pPr>
            <w:r>
              <w:rPr>
                <w:rFonts w:hint="eastAsia" w:ascii="仿宋" w:hAnsi="仿宋" w:eastAsia="仿宋"/>
                <w:sz w:val="24"/>
                <w:szCs w:val="24"/>
              </w:rPr>
              <w:t>报价方式</w:t>
            </w:r>
          </w:p>
        </w:tc>
        <w:tc>
          <w:tcPr>
            <w:tcW w:w="5475" w:type="dxa"/>
            <w:vAlign w:val="center"/>
          </w:tcPr>
          <w:p w14:paraId="2B257A0E">
            <w:pPr>
              <w:spacing w:line="360" w:lineRule="auto"/>
              <w:rPr>
                <w:rFonts w:ascii="仿宋" w:hAnsi="仿宋" w:eastAsia="仿宋"/>
                <w:sz w:val="24"/>
                <w:szCs w:val="24"/>
                <w:highlight w:val="none"/>
              </w:rPr>
            </w:pPr>
            <w:r>
              <w:rPr>
                <w:rFonts w:ascii="仿宋" w:hAnsi="仿宋" w:eastAsia="仿宋"/>
                <w:sz w:val="24"/>
                <w:szCs w:val="24"/>
                <w:highlight w:val="none"/>
              </w:rPr>
              <w:t>总价报价</w:t>
            </w:r>
          </w:p>
        </w:tc>
      </w:tr>
      <w:tr w14:paraId="4401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0B0B1D1">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774F64F8">
            <w:pPr>
              <w:spacing w:line="360" w:lineRule="auto"/>
              <w:jc w:val="center"/>
              <w:rPr>
                <w:rFonts w:ascii="仿宋" w:hAnsi="仿宋" w:eastAsia="仿宋"/>
                <w:sz w:val="24"/>
                <w:szCs w:val="24"/>
              </w:rPr>
            </w:pPr>
            <w:r>
              <w:rPr>
                <w:rFonts w:hint="eastAsia" w:ascii="仿宋" w:hAnsi="仿宋" w:eastAsia="仿宋"/>
                <w:sz w:val="24"/>
                <w:szCs w:val="24"/>
              </w:rPr>
              <w:t>报价有效期</w:t>
            </w:r>
          </w:p>
        </w:tc>
        <w:tc>
          <w:tcPr>
            <w:tcW w:w="5475" w:type="dxa"/>
            <w:vAlign w:val="center"/>
          </w:tcPr>
          <w:p w14:paraId="1DF7E932">
            <w:pPr>
              <w:spacing w:line="360" w:lineRule="auto"/>
              <w:rPr>
                <w:rFonts w:ascii="仿宋" w:hAnsi="仿宋" w:eastAsia="仿宋"/>
                <w:sz w:val="24"/>
                <w:szCs w:val="24"/>
                <w:highlight w:val="none"/>
              </w:rPr>
            </w:pPr>
            <w:r>
              <w:rPr>
                <w:rFonts w:hint="eastAsia" w:ascii="仿宋" w:hAnsi="仿宋" w:eastAsia="仿宋"/>
                <w:sz w:val="24"/>
                <w:szCs w:val="24"/>
                <w:highlight w:val="none"/>
              </w:rPr>
              <w:t>响应截止时间起</w:t>
            </w:r>
            <w:r>
              <w:rPr>
                <w:rFonts w:hint="eastAsia" w:ascii="仿宋" w:hAnsi="仿宋" w:eastAsia="仿宋"/>
                <w:sz w:val="24"/>
                <w:szCs w:val="24"/>
                <w:highlight w:val="none"/>
                <w:lang w:val="en-US" w:eastAsia="zh-CN"/>
              </w:rPr>
              <w:t>60</w:t>
            </w:r>
            <w:r>
              <w:rPr>
                <w:rFonts w:ascii="仿宋" w:hAnsi="仿宋" w:eastAsia="仿宋"/>
                <w:sz w:val="24"/>
                <w:szCs w:val="24"/>
                <w:highlight w:val="none"/>
              </w:rPr>
              <w:t>天</w:t>
            </w:r>
          </w:p>
        </w:tc>
      </w:tr>
      <w:tr w14:paraId="0D83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DBB3F3">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5B1D1847">
            <w:pPr>
              <w:spacing w:line="360" w:lineRule="auto"/>
              <w:jc w:val="center"/>
              <w:rPr>
                <w:rFonts w:ascii="仿宋" w:hAnsi="仿宋" w:eastAsia="仿宋"/>
                <w:sz w:val="24"/>
                <w:szCs w:val="24"/>
              </w:rPr>
            </w:pPr>
            <w:r>
              <w:rPr>
                <w:rFonts w:hint="eastAsia" w:ascii="仿宋" w:hAnsi="仿宋" w:eastAsia="仿宋"/>
                <w:sz w:val="24"/>
                <w:szCs w:val="24"/>
              </w:rPr>
              <w:t>签订合同类型</w:t>
            </w:r>
          </w:p>
        </w:tc>
        <w:tc>
          <w:tcPr>
            <w:tcW w:w="5475" w:type="dxa"/>
            <w:vAlign w:val="center"/>
          </w:tcPr>
          <w:p w14:paraId="7BCA0921">
            <w:pPr>
              <w:spacing w:line="360" w:lineRule="auto"/>
              <w:rPr>
                <w:rFonts w:ascii="仿宋" w:hAnsi="仿宋" w:eastAsia="仿宋"/>
                <w:sz w:val="24"/>
                <w:szCs w:val="24"/>
                <w:highlight w:val="none"/>
              </w:rPr>
            </w:pPr>
            <w:r>
              <w:rPr>
                <w:rFonts w:ascii="仿宋" w:hAnsi="仿宋" w:eastAsia="仿宋"/>
                <w:sz w:val="24"/>
                <w:szCs w:val="24"/>
                <w:highlight w:val="none"/>
              </w:rPr>
              <w:t>总价合同</w:t>
            </w:r>
          </w:p>
        </w:tc>
      </w:tr>
      <w:tr w14:paraId="27B6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FF5B2E0">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7C13D069">
            <w:pPr>
              <w:spacing w:line="360" w:lineRule="auto"/>
              <w:jc w:val="center"/>
              <w:rPr>
                <w:rFonts w:ascii="仿宋" w:hAnsi="仿宋" w:eastAsia="仿宋"/>
                <w:sz w:val="24"/>
                <w:szCs w:val="24"/>
              </w:rPr>
            </w:pPr>
            <w:r>
              <w:rPr>
                <w:rFonts w:hint="eastAsia" w:ascii="仿宋" w:hAnsi="仿宋" w:eastAsia="仿宋"/>
                <w:sz w:val="24"/>
                <w:szCs w:val="24"/>
              </w:rPr>
              <w:t>签订合同期限</w:t>
            </w:r>
          </w:p>
        </w:tc>
        <w:tc>
          <w:tcPr>
            <w:tcW w:w="5475" w:type="dxa"/>
            <w:vAlign w:val="center"/>
          </w:tcPr>
          <w:p w14:paraId="7F114AF0">
            <w:pPr>
              <w:spacing w:line="360" w:lineRule="auto"/>
              <w:rPr>
                <w:rFonts w:ascii="仿宋" w:hAnsi="仿宋" w:eastAsia="仿宋"/>
                <w:b/>
                <w:bCs/>
                <w:i/>
                <w:iCs/>
                <w:color w:val="FF0000"/>
                <w:sz w:val="24"/>
                <w:szCs w:val="24"/>
                <w:highlight w:val="none"/>
              </w:rPr>
            </w:pPr>
            <w:r>
              <w:rPr>
                <w:rFonts w:hint="eastAsia" w:ascii="仿宋" w:hAnsi="仿宋" w:eastAsia="仿宋"/>
                <w:sz w:val="24"/>
                <w:szCs w:val="24"/>
                <w:highlight w:val="none"/>
              </w:rPr>
              <w:t>一年</w:t>
            </w:r>
          </w:p>
        </w:tc>
      </w:tr>
      <w:tr w14:paraId="297C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9254D81">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7723572">
            <w:pPr>
              <w:spacing w:line="360" w:lineRule="auto"/>
              <w:jc w:val="center"/>
              <w:rPr>
                <w:rFonts w:ascii="仿宋" w:hAnsi="仿宋" w:eastAsia="仿宋"/>
                <w:sz w:val="24"/>
                <w:szCs w:val="24"/>
              </w:rPr>
            </w:pPr>
            <w:r>
              <w:rPr>
                <w:rFonts w:hint="eastAsia" w:ascii="仿宋" w:hAnsi="仿宋" w:eastAsia="仿宋"/>
                <w:sz w:val="24"/>
                <w:szCs w:val="24"/>
              </w:rPr>
              <w:t>付款方式</w:t>
            </w:r>
          </w:p>
        </w:tc>
        <w:tc>
          <w:tcPr>
            <w:tcW w:w="5475" w:type="dxa"/>
            <w:vAlign w:val="center"/>
          </w:tcPr>
          <w:p w14:paraId="63847238">
            <w:pPr>
              <w:spacing w:line="360" w:lineRule="auto"/>
              <w:rPr>
                <w:rFonts w:ascii="仿宋" w:hAnsi="仿宋" w:eastAsia="仿宋"/>
                <w:sz w:val="24"/>
                <w:szCs w:val="24"/>
                <w:highlight w:val="none"/>
              </w:rPr>
            </w:pPr>
            <w:r>
              <w:rPr>
                <w:rFonts w:hint="eastAsia" w:ascii="仿宋" w:hAnsi="仿宋" w:eastAsia="仿宋"/>
                <w:sz w:val="24"/>
                <w:szCs w:val="24"/>
                <w:highlight w:val="none"/>
              </w:rPr>
              <w:t>转账</w:t>
            </w:r>
          </w:p>
        </w:tc>
      </w:tr>
      <w:tr w14:paraId="7645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0922FCC">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7519B757">
            <w:pPr>
              <w:spacing w:line="360" w:lineRule="auto"/>
              <w:jc w:val="center"/>
              <w:rPr>
                <w:rFonts w:ascii="仿宋" w:hAnsi="仿宋" w:eastAsia="仿宋"/>
                <w:sz w:val="24"/>
                <w:szCs w:val="24"/>
              </w:rPr>
            </w:pPr>
            <w:r>
              <w:rPr>
                <w:rFonts w:hint="eastAsia" w:ascii="仿宋" w:hAnsi="仿宋" w:eastAsia="仿宋"/>
                <w:sz w:val="24"/>
                <w:szCs w:val="24"/>
              </w:rPr>
              <w:t>评审方法</w:t>
            </w:r>
          </w:p>
        </w:tc>
        <w:tc>
          <w:tcPr>
            <w:tcW w:w="5475" w:type="dxa"/>
            <w:vAlign w:val="center"/>
          </w:tcPr>
          <w:p w14:paraId="024BED9E">
            <w:pPr>
              <w:spacing w:line="360" w:lineRule="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最低价中标法</w:t>
            </w:r>
          </w:p>
        </w:tc>
      </w:tr>
      <w:tr w14:paraId="4FE5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D9107B6">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FF9A024">
            <w:pPr>
              <w:spacing w:line="360" w:lineRule="auto"/>
              <w:jc w:val="center"/>
              <w:rPr>
                <w:rFonts w:ascii="仿宋" w:hAnsi="仿宋" w:eastAsia="仿宋"/>
                <w:sz w:val="24"/>
                <w:szCs w:val="24"/>
              </w:rPr>
            </w:pPr>
            <w:r>
              <w:rPr>
                <w:rFonts w:hint="eastAsia" w:ascii="仿宋" w:hAnsi="仿宋" w:eastAsia="仿宋"/>
                <w:sz w:val="24"/>
                <w:szCs w:val="24"/>
              </w:rPr>
              <w:t>响应保证金</w:t>
            </w:r>
          </w:p>
        </w:tc>
        <w:tc>
          <w:tcPr>
            <w:tcW w:w="5475" w:type="dxa"/>
            <w:vAlign w:val="center"/>
          </w:tcPr>
          <w:p w14:paraId="33CC0CAD">
            <w:pPr>
              <w:spacing w:line="360" w:lineRule="auto"/>
              <w:rPr>
                <w:rFonts w:ascii="仿宋" w:hAnsi="仿宋" w:eastAsia="仿宋"/>
                <w:sz w:val="24"/>
                <w:szCs w:val="24"/>
                <w:highlight w:val="none"/>
              </w:rPr>
            </w:pPr>
            <w:r>
              <w:rPr>
                <w:rFonts w:hint="eastAsia" w:ascii="仿宋" w:hAnsi="仿宋" w:eastAsia="仿宋"/>
                <w:sz w:val="24"/>
                <w:szCs w:val="24"/>
                <w:highlight w:val="none"/>
              </w:rPr>
              <w:sym w:font="Wingdings 2" w:char="F052"/>
            </w:r>
            <w:r>
              <w:rPr>
                <w:rFonts w:hint="eastAsia" w:ascii="仿宋" w:hAnsi="仿宋" w:eastAsia="仿宋"/>
                <w:sz w:val="24"/>
                <w:szCs w:val="24"/>
                <w:highlight w:val="none"/>
              </w:rPr>
              <w:t>不收取</w:t>
            </w:r>
          </w:p>
          <w:p w14:paraId="5743AAD8">
            <w:pPr>
              <w:spacing w:line="360" w:lineRule="auto"/>
              <w:rPr>
                <w:rFonts w:ascii="仿宋" w:hAnsi="仿宋" w:eastAsia="仿宋"/>
                <w:sz w:val="24"/>
                <w:szCs w:val="24"/>
                <w:highlight w:val="none"/>
              </w:rPr>
            </w:pPr>
            <w:r>
              <w:rPr>
                <w:rFonts w:hint="eastAsia" w:ascii="仿宋" w:hAnsi="仿宋" w:eastAsia="仿宋"/>
                <w:sz w:val="24"/>
                <w:szCs w:val="24"/>
                <w:highlight w:val="none"/>
              </w:rPr>
              <w:t>□收取</w:t>
            </w:r>
          </w:p>
        </w:tc>
      </w:tr>
      <w:tr w14:paraId="517F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B75F68">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52FDE6D">
            <w:pPr>
              <w:spacing w:line="360" w:lineRule="auto"/>
              <w:jc w:val="center"/>
              <w:rPr>
                <w:rFonts w:ascii="仿宋" w:hAnsi="仿宋" w:eastAsia="仿宋"/>
                <w:sz w:val="24"/>
                <w:szCs w:val="24"/>
              </w:rPr>
            </w:pPr>
            <w:r>
              <w:rPr>
                <w:rFonts w:hint="eastAsia" w:ascii="仿宋" w:hAnsi="仿宋" w:eastAsia="仿宋"/>
                <w:sz w:val="24"/>
                <w:szCs w:val="24"/>
              </w:rPr>
              <w:t>成交人数量</w:t>
            </w:r>
          </w:p>
        </w:tc>
        <w:tc>
          <w:tcPr>
            <w:tcW w:w="5475" w:type="dxa"/>
            <w:vAlign w:val="center"/>
          </w:tcPr>
          <w:p w14:paraId="3D5F5016">
            <w:pPr>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本项目选取</w:t>
            </w:r>
            <w:r>
              <w:rPr>
                <w:rFonts w:ascii="仿宋" w:hAnsi="仿宋" w:eastAsia="仿宋"/>
                <w:sz w:val="24"/>
                <w:szCs w:val="24"/>
                <w:highlight w:val="none"/>
              </w:rPr>
              <w:t>1</w:t>
            </w:r>
            <w:r>
              <w:rPr>
                <w:rFonts w:hint="eastAsia" w:ascii="仿宋" w:hAnsi="仿宋" w:eastAsia="仿宋"/>
                <w:sz w:val="24"/>
                <w:szCs w:val="24"/>
                <w:highlight w:val="none"/>
              </w:rPr>
              <w:t>名</w:t>
            </w:r>
            <w:r>
              <w:rPr>
                <w:rFonts w:hint="eastAsia" w:ascii="仿宋" w:hAnsi="仿宋" w:eastAsia="仿宋"/>
                <w:sz w:val="24"/>
                <w:szCs w:val="24"/>
              </w:rPr>
              <w:t>成交人</w:t>
            </w:r>
          </w:p>
        </w:tc>
      </w:tr>
      <w:tr w14:paraId="3547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20CA253">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766BCB09">
            <w:pPr>
              <w:spacing w:line="360" w:lineRule="auto"/>
              <w:jc w:val="center"/>
              <w:rPr>
                <w:rFonts w:ascii="仿宋" w:hAnsi="仿宋" w:eastAsia="仿宋"/>
                <w:sz w:val="24"/>
                <w:szCs w:val="24"/>
              </w:rPr>
            </w:pPr>
            <w:r>
              <w:rPr>
                <w:rFonts w:hint="eastAsia" w:ascii="仿宋" w:hAnsi="仿宋" w:eastAsia="仿宋"/>
                <w:sz w:val="24"/>
                <w:szCs w:val="24"/>
              </w:rPr>
              <w:t>供应商资格要求</w:t>
            </w:r>
          </w:p>
        </w:tc>
        <w:tc>
          <w:tcPr>
            <w:tcW w:w="5475" w:type="dxa"/>
            <w:vAlign w:val="center"/>
          </w:tcPr>
          <w:p w14:paraId="19E4D079">
            <w:pPr>
              <w:spacing w:line="360" w:lineRule="auto"/>
              <w:rPr>
                <w:rFonts w:ascii="仿宋" w:hAnsi="仿宋" w:eastAsia="仿宋"/>
                <w:sz w:val="24"/>
                <w:szCs w:val="24"/>
              </w:rPr>
            </w:pPr>
            <w:r>
              <w:rPr>
                <w:rFonts w:hint="eastAsia" w:ascii="仿宋" w:hAnsi="仿宋" w:eastAsia="仿宋"/>
                <w:sz w:val="24"/>
                <w:szCs w:val="24"/>
              </w:rPr>
              <w:t>一、资格、资质及业绩要求</w:t>
            </w:r>
          </w:p>
          <w:p w14:paraId="1569212B">
            <w:pPr>
              <w:spacing w:line="360" w:lineRule="auto"/>
              <w:rPr>
                <w:rFonts w:hint="eastAsia" w:ascii="仿宋" w:hAnsi="仿宋" w:eastAsia="仿宋"/>
                <w:sz w:val="24"/>
                <w:szCs w:val="24"/>
              </w:rPr>
            </w:pPr>
            <w:r>
              <w:rPr>
                <w:rFonts w:hint="eastAsia" w:ascii="仿宋" w:hAnsi="仿宋" w:eastAsia="仿宋"/>
                <w:sz w:val="24"/>
                <w:szCs w:val="24"/>
              </w:rPr>
              <w:t>1.</w:t>
            </w:r>
            <w:bookmarkStart w:id="0" w:name="_Hlk137964413"/>
            <w:r>
              <w:rPr>
                <w:rFonts w:hint="eastAsia" w:ascii="仿宋" w:hAnsi="仿宋" w:eastAsia="仿宋"/>
                <w:sz w:val="24"/>
                <w:szCs w:val="24"/>
              </w:rPr>
              <w:t>响应单位为中华人民共和国境内合法注册的独立法人或其他组织，具有独立承担民事责任能力，具有独立订立合同的权利；</w:t>
            </w:r>
            <w:bookmarkEnd w:id="0"/>
          </w:p>
          <w:p w14:paraId="23D3C0E0">
            <w:pPr>
              <w:spacing w:line="360" w:lineRule="auto"/>
              <w:rPr>
                <w:rFonts w:hint="default" w:ascii="仿宋" w:hAnsi="仿宋" w:eastAsia="仿宋"/>
                <w:color w:val="FF0000"/>
                <w:sz w:val="24"/>
                <w:szCs w:val="24"/>
                <w:highlight w:val="none"/>
                <w:lang w:val="en-US" w:eastAsia="zh-CN"/>
              </w:rPr>
            </w:pPr>
            <w:r>
              <w:rPr>
                <w:rFonts w:hint="eastAsia" w:ascii="仿宋" w:hAnsi="仿宋" w:eastAsia="仿宋"/>
                <w:sz w:val="24"/>
                <w:szCs w:val="24"/>
                <w:lang w:val="en-US" w:eastAsia="zh-CN"/>
              </w:rPr>
              <w:t>2.</w:t>
            </w:r>
            <w:r>
              <w:rPr>
                <w:rFonts w:hint="eastAsia" w:ascii="仿宋" w:hAnsi="仿宋" w:eastAsia="仿宋"/>
                <w:color w:val="auto"/>
                <w:sz w:val="24"/>
                <w:szCs w:val="24"/>
                <w:highlight w:val="none"/>
                <w:lang w:val="en-US" w:eastAsia="zh-CN"/>
              </w:rPr>
              <w:t>报告编制单位有抗暴软件分析版权或软件授权委托书，编制人员具有注册安全工程师或安全评价师。</w:t>
            </w:r>
          </w:p>
          <w:p w14:paraId="18B41DFF">
            <w:pPr>
              <w:spacing w:line="360" w:lineRule="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3.至少需提供2021年以来《抗暴分析计算评估报告》、业绩一份。</w:t>
            </w:r>
          </w:p>
          <w:p w14:paraId="2DC6A87C">
            <w:pPr>
              <w:spacing w:line="360" w:lineRule="auto"/>
              <w:rPr>
                <w:rFonts w:ascii="仿宋" w:hAnsi="仿宋" w:eastAsia="仿宋"/>
                <w:sz w:val="24"/>
                <w:szCs w:val="24"/>
                <w:highlight w:val="yellow"/>
              </w:rPr>
            </w:pPr>
            <w:r>
              <w:rPr>
                <w:rFonts w:hint="eastAsia" w:ascii="仿宋" w:hAnsi="仿宋" w:eastAsia="仿宋"/>
                <w:sz w:val="24"/>
                <w:szCs w:val="24"/>
              </w:rPr>
              <w:t>二、信用要求</w:t>
            </w:r>
          </w:p>
          <w:p w14:paraId="4EF8F2EB">
            <w:pPr>
              <w:spacing w:line="360" w:lineRule="auto"/>
              <w:rPr>
                <w:rFonts w:ascii="仿宋" w:hAnsi="仿宋" w:eastAsia="仿宋"/>
                <w:sz w:val="24"/>
                <w:szCs w:val="24"/>
              </w:rPr>
            </w:pPr>
            <w:bookmarkStart w:id="1" w:name="_Hlk137964447"/>
            <w:r>
              <w:rPr>
                <w:rFonts w:ascii="仿宋" w:hAnsi="仿宋" w:eastAsia="仿宋"/>
                <w:sz w:val="24"/>
                <w:szCs w:val="24"/>
              </w:rPr>
              <w:t>1.</w:t>
            </w:r>
            <w:r>
              <w:rPr>
                <w:rFonts w:hint="eastAsia" w:ascii="仿宋" w:hAnsi="仿宋" w:eastAsia="仿宋"/>
                <w:sz w:val="24"/>
                <w:szCs w:val="24"/>
              </w:rPr>
              <w:t>响应单位</w:t>
            </w:r>
            <w:r>
              <w:rPr>
                <w:rFonts w:ascii="仿宋" w:hAnsi="仿宋" w:eastAsia="仿宋"/>
                <w:sz w:val="24"/>
                <w:szCs w:val="24"/>
              </w:rPr>
              <w:t>（含联合体</w:t>
            </w:r>
            <w:r>
              <w:rPr>
                <w:rFonts w:hint="eastAsia" w:ascii="仿宋" w:hAnsi="仿宋" w:eastAsia="仿宋"/>
                <w:sz w:val="24"/>
                <w:szCs w:val="24"/>
              </w:rPr>
              <w:t>响应</w:t>
            </w:r>
            <w:r>
              <w:rPr>
                <w:rFonts w:ascii="仿宋" w:hAnsi="仿宋" w:eastAsia="仿宋"/>
                <w:sz w:val="24"/>
                <w:szCs w:val="24"/>
              </w:rPr>
              <w:t>的成员单位）</w:t>
            </w:r>
            <w:r>
              <w:rPr>
                <w:rFonts w:hint="eastAsia" w:ascii="仿宋" w:hAnsi="仿宋" w:eastAsia="仿宋"/>
                <w:sz w:val="24"/>
                <w:szCs w:val="24"/>
              </w:rPr>
              <w:t>未被“国家企业信用信息公示系统”列入严重违法失信单（黑名单）信息（提供网站查询界面截图）；</w:t>
            </w:r>
          </w:p>
          <w:p w14:paraId="7570CCF4">
            <w:pPr>
              <w:spacing w:line="36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响应单位</w:t>
            </w:r>
            <w:r>
              <w:rPr>
                <w:rFonts w:ascii="仿宋" w:hAnsi="仿宋" w:eastAsia="仿宋"/>
                <w:sz w:val="24"/>
                <w:szCs w:val="24"/>
              </w:rPr>
              <w:t>（含联合体</w:t>
            </w:r>
            <w:r>
              <w:rPr>
                <w:rFonts w:hint="eastAsia" w:ascii="仿宋" w:hAnsi="仿宋" w:eastAsia="仿宋"/>
                <w:sz w:val="24"/>
                <w:szCs w:val="24"/>
              </w:rPr>
              <w:t>响应</w:t>
            </w:r>
            <w:r>
              <w:rPr>
                <w:rFonts w:ascii="仿宋" w:hAnsi="仿宋" w:eastAsia="仿宋"/>
                <w:sz w:val="24"/>
                <w:szCs w:val="24"/>
              </w:rPr>
              <w:t>的成员单位）</w:t>
            </w:r>
            <w:r>
              <w:rPr>
                <w:rFonts w:hint="eastAsia" w:ascii="仿宋" w:hAnsi="仿宋" w:eastAsia="仿宋"/>
                <w:sz w:val="24"/>
                <w:szCs w:val="24"/>
              </w:rPr>
              <w:t>未被“信用中国”列入严重失信主体名单（提供网站查询界面截图）</w:t>
            </w:r>
            <w:bookmarkEnd w:id="1"/>
            <w:r>
              <w:rPr>
                <w:rFonts w:hint="eastAsia" w:ascii="仿宋" w:hAnsi="仿宋" w:eastAsia="仿宋"/>
                <w:sz w:val="24"/>
                <w:szCs w:val="24"/>
              </w:rPr>
              <w:t>。</w:t>
            </w:r>
          </w:p>
        </w:tc>
      </w:tr>
      <w:tr w14:paraId="0A98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08B52AD">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2356C6AE">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项目概况</w:t>
            </w:r>
          </w:p>
        </w:tc>
        <w:tc>
          <w:tcPr>
            <w:tcW w:w="5475" w:type="dxa"/>
            <w:vAlign w:val="center"/>
          </w:tcPr>
          <w:p w14:paraId="4753F682">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本项目为安徽省阜阳市阜合园区一座LNG气化站，为阜阳市阜合园区应急调峰供气。</w:t>
            </w:r>
          </w:p>
          <w:p w14:paraId="66ECE008">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本站的设计规模：</w:t>
            </w:r>
          </w:p>
          <w:p w14:paraId="389B2417">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1、LNG气化站</w:t>
            </w:r>
          </w:p>
          <w:p w14:paraId="657B110A">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（1）储存规模：2台150m3LNG储罐。</w:t>
            </w:r>
          </w:p>
          <w:p w14:paraId="74D82809">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（2）气化规模：8000Nm3/h。</w:t>
            </w:r>
          </w:p>
          <w:p w14:paraId="072019CE">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2、占地面积及投资</w:t>
            </w:r>
          </w:p>
          <w:p w14:paraId="5EF12B21">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（1）占地面积：13093m2（约19.64亩）；</w:t>
            </w:r>
          </w:p>
          <w:p w14:paraId="13ED2532">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（2）投资金额：约2500万元。</w:t>
            </w:r>
          </w:p>
          <w:p w14:paraId="6A68ACA4">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3、工程主要内容</w:t>
            </w:r>
          </w:p>
          <w:p w14:paraId="3BA43518">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新建建筑物：辅助用房（建筑面积约210.54m2）、生产用房（建筑面积约810m2）、办公楼（建筑面积约989.52m2，二期预留本次未建设）。</w:t>
            </w:r>
          </w:p>
          <w:p w14:paraId="7E3FE4E5">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新建构筑物：2座800m3消防水池、LNG储罐区、气化调压装置区、场坪、围墙等。</w:t>
            </w:r>
          </w:p>
          <w:p w14:paraId="03FE90EB">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主要工艺设施：</w:t>
            </w:r>
          </w:p>
          <w:p w14:paraId="1AC876D2">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LNG立式储罐2台（150m3），储罐增压器2台（300Nm3/h），卸车增压器2台（300Nm3/h），空温式气化器4台（4000Nm3/h），BOG加热器1台（600Nm3/h），EAG加热器1台（500Nm3/h），水浴式复热器1台（8000+600Nm3/h），调压计量撬1台（8000+600Nm3/h）。</w:t>
            </w:r>
          </w:p>
          <w:p w14:paraId="6BAE3810">
            <w:pPr>
              <w:spacing w:line="360" w:lineRule="auto"/>
              <w:ind w:firstLine="480" w:firstLineChars="200"/>
              <w:rPr>
                <w:rFonts w:ascii="仿宋" w:hAnsi="仿宋" w:eastAsia="仿宋"/>
                <w:sz w:val="24"/>
                <w:szCs w:val="24"/>
              </w:rPr>
            </w:pPr>
          </w:p>
        </w:tc>
      </w:tr>
      <w:tr w14:paraId="52BF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EC2CB3A">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78C714AE">
            <w:pPr>
              <w:spacing w:line="360" w:lineRule="auto"/>
              <w:jc w:val="center"/>
              <w:rPr>
                <w:rFonts w:ascii="仿宋" w:hAnsi="仿宋" w:eastAsia="仿宋"/>
                <w:sz w:val="24"/>
                <w:szCs w:val="24"/>
              </w:rPr>
            </w:pPr>
            <w:r>
              <w:rPr>
                <w:rFonts w:hint="eastAsia" w:ascii="仿宋" w:hAnsi="仿宋" w:eastAsia="仿宋"/>
                <w:sz w:val="24"/>
                <w:szCs w:val="24"/>
              </w:rPr>
              <w:t>限价</w:t>
            </w:r>
          </w:p>
        </w:tc>
        <w:tc>
          <w:tcPr>
            <w:tcW w:w="5475" w:type="dxa"/>
            <w:vAlign w:val="center"/>
          </w:tcPr>
          <w:p w14:paraId="0C6273D5">
            <w:pPr>
              <w:spacing w:line="360" w:lineRule="auto"/>
              <w:rPr>
                <w:rFonts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rPr>
              <w:t>无</w:t>
            </w:r>
          </w:p>
          <w:p w14:paraId="2D7762E9">
            <w:pPr>
              <w:spacing w:line="360" w:lineRule="auto"/>
              <w:rPr>
                <w:rFonts w:ascii="仿宋" w:hAnsi="仿宋" w:eastAsia="仿宋"/>
                <w:sz w:val="24"/>
                <w:szCs w:val="24"/>
                <w:u w:val="single"/>
              </w:rPr>
            </w:pPr>
            <w:r>
              <w:rPr>
                <w:rFonts w:hint="eastAsia" w:ascii="仿宋" w:hAnsi="仿宋" w:eastAsia="仿宋"/>
                <w:sz w:val="24"/>
                <w:szCs w:val="24"/>
                <w:lang w:eastAsia="zh-CN"/>
              </w:rPr>
              <w:t>□</w:t>
            </w:r>
            <w:r>
              <w:rPr>
                <w:rFonts w:ascii="仿宋" w:hAnsi="仿宋" w:eastAsia="仿宋"/>
                <w:sz w:val="24"/>
                <w:szCs w:val="24"/>
              </w:rPr>
              <w:t>最高限价</w:t>
            </w:r>
            <w:r>
              <w:rPr>
                <w:rFonts w:hint="eastAsia" w:ascii="仿宋" w:hAnsi="仿宋" w:eastAsia="仿宋"/>
                <w:sz w:val="24"/>
                <w:szCs w:val="24"/>
              </w:rPr>
              <w:t>或其它计算方法，</w:t>
            </w:r>
            <w:r>
              <w:rPr>
                <w:rFonts w:hint="eastAsia" w:ascii="仿宋" w:hAnsi="仿宋" w:eastAsia="仿宋"/>
                <w:sz w:val="24"/>
                <w:szCs w:val="24"/>
                <w:u w:val="single"/>
              </w:rPr>
              <w:t xml:space="preserve"> </w:t>
            </w:r>
            <w:r>
              <w:rPr>
                <w:rFonts w:ascii="仿宋" w:hAnsi="仿宋" w:eastAsia="仿宋"/>
                <w:sz w:val="24"/>
                <w:szCs w:val="24"/>
                <w:u w:val="single"/>
              </w:rPr>
              <w:t xml:space="preserve">    </w:t>
            </w:r>
          </w:p>
        </w:tc>
      </w:tr>
      <w:tr w14:paraId="7659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66AF2E2">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E267A46">
            <w:pPr>
              <w:spacing w:line="360" w:lineRule="auto"/>
              <w:jc w:val="center"/>
              <w:rPr>
                <w:rFonts w:ascii="仿宋" w:hAnsi="仿宋" w:eastAsia="仿宋"/>
                <w:sz w:val="24"/>
                <w:szCs w:val="24"/>
              </w:rPr>
            </w:pPr>
            <w:r>
              <w:rPr>
                <w:rFonts w:hint="eastAsia" w:ascii="仿宋" w:hAnsi="仿宋" w:eastAsia="仿宋"/>
                <w:sz w:val="24"/>
                <w:szCs w:val="24"/>
              </w:rPr>
              <w:t>联合体</w:t>
            </w:r>
          </w:p>
        </w:tc>
        <w:tc>
          <w:tcPr>
            <w:tcW w:w="5475" w:type="dxa"/>
            <w:vAlign w:val="center"/>
          </w:tcPr>
          <w:p w14:paraId="18866078">
            <w:pPr>
              <w:spacing w:line="360" w:lineRule="auto"/>
              <w:rPr>
                <w:rFonts w:ascii="仿宋" w:hAnsi="仿宋" w:eastAsia="仿宋"/>
                <w:b/>
                <w:bCs/>
                <w:i/>
                <w:iCs/>
                <w:color w:val="FF0000"/>
                <w:sz w:val="24"/>
                <w:szCs w:val="24"/>
              </w:rPr>
            </w:pPr>
            <w:r>
              <w:rPr>
                <w:rFonts w:hint="eastAsia" w:ascii="仿宋" w:hAnsi="仿宋" w:eastAsia="仿宋"/>
                <w:sz w:val="24"/>
                <w:szCs w:val="24"/>
              </w:rPr>
              <w:sym w:font="Wingdings 2" w:char="F052"/>
            </w:r>
            <w:r>
              <w:rPr>
                <w:rFonts w:hint="eastAsia" w:ascii="仿宋" w:hAnsi="仿宋" w:eastAsia="仿宋"/>
                <w:sz w:val="24"/>
                <w:szCs w:val="24"/>
              </w:rPr>
              <w:t>不允许</w:t>
            </w:r>
          </w:p>
          <w:p w14:paraId="16ECEC50">
            <w:pPr>
              <w:spacing w:line="360" w:lineRule="auto"/>
              <w:rPr>
                <w:rFonts w:ascii="仿宋" w:hAnsi="仿宋" w:eastAsia="仿宋"/>
                <w:sz w:val="24"/>
                <w:szCs w:val="24"/>
                <w:highlight w:val="yellow"/>
                <w:u w:val="single"/>
              </w:rPr>
            </w:pPr>
            <w:r>
              <w:rPr>
                <w:rFonts w:hint="eastAsia" w:ascii="仿宋" w:hAnsi="仿宋" w:eastAsia="仿宋"/>
                <w:sz w:val="24"/>
                <w:szCs w:val="24"/>
              </w:rPr>
              <w:t>□允许</w:t>
            </w:r>
          </w:p>
        </w:tc>
      </w:tr>
      <w:tr w14:paraId="755B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934ACE0">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3DFFE71">
            <w:pPr>
              <w:spacing w:line="360" w:lineRule="auto"/>
              <w:jc w:val="center"/>
              <w:rPr>
                <w:rFonts w:ascii="仿宋" w:hAnsi="仿宋" w:eastAsia="仿宋"/>
                <w:sz w:val="24"/>
                <w:szCs w:val="24"/>
              </w:rPr>
            </w:pPr>
            <w:r>
              <w:rPr>
                <w:rFonts w:hint="eastAsia" w:ascii="仿宋" w:hAnsi="仿宋" w:eastAsia="仿宋"/>
                <w:sz w:val="24"/>
                <w:szCs w:val="24"/>
              </w:rPr>
              <w:t>履约保证金</w:t>
            </w:r>
          </w:p>
        </w:tc>
        <w:tc>
          <w:tcPr>
            <w:tcW w:w="5475" w:type="dxa"/>
            <w:vAlign w:val="center"/>
          </w:tcPr>
          <w:p w14:paraId="6D966A5A">
            <w:pPr>
              <w:spacing w:line="360" w:lineRule="auto"/>
              <w:rPr>
                <w:rFonts w:ascii="仿宋" w:hAnsi="仿宋" w:eastAsia="仿宋"/>
                <w:sz w:val="24"/>
                <w:szCs w:val="24"/>
                <w:highlight w:val="none"/>
              </w:rPr>
            </w:pPr>
            <w:r>
              <w:rPr>
                <w:rFonts w:hint="eastAsia" w:ascii="仿宋" w:hAnsi="仿宋" w:eastAsia="仿宋"/>
                <w:sz w:val="24"/>
                <w:szCs w:val="24"/>
                <w:highlight w:val="none"/>
              </w:rPr>
              <w:sym w:font="Wingdings 2" w:char="F052"/>
            </w:r>
            <w:r>
              <w:rPr>
                <w:rFonts w:hint="eastAsia" w:ascii="仿宋" w:hAnsi="仿宋" w:eastAsia="仿宋"/>
                <w:sz w:val="24"/>
                <w:szCs w:val="24"/>
                <w:highlight w:val="none"/>
              </w:rPr>
              <w:t>不收取</w:t>
            </w:r>
          </w:p>
          <w:p w14:paraId="264CCBF2">
            <w:pPr>
              <w:spacing w:line="360" w:lineRule="auto"/>
              <w:rPr>
                <w:rFonts w:ascii="仿宋" w:hAnsi="仿宋" w:eastAsia="仿宋"/>
                <w:kern w:val="0"/>
                <w:sz w:val="24"/>
                <w:szCs w:val="24"/>
              </w:rPr>
            </w:pPr>
            <w:r>
              <w:rPr>
                <w:rFonts w:hint="eastAsia" w:ascii="仿宋" w:hAnsi="仿宋" w:eastAsia="仿宋"/>
                <w:sz w:val="24"/>
                <w:szCs w:val="24"/>
                <w:highlight w:val="none"/>
              </w:rPr>
              <w:t>□收取</w:t>
            </w:r>
          </w:p>
        </w:tc>
      </w:tr>
      <w:tr w14:paraId="2FE9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2EFBC3">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51B35CB">
            <w:pPr>
              <w:spacing w:line="360" w:lineRule="auto"/>
              <w:jc w:val="center"/>
              <w:rPr>
                <w:rFonts w:ascii="仿宋" w:hAnsi="仿宋" w:eastAsia="仿宋"/>
                <w:sz w:val="24"/>
                <w:szCs w:val="24"/>
              </w:rPr>
            </w:pPr>
            <w:r>
              <w:rPr>
                <w:rFonts w:hint="eastAsia" w:ascii="仿宋" w:hAnsi="仿宋" w:eastAsia="仿宋"/>
                <w:sz w:val="24"/>
                <w:szCs w:val="24"/>
              </w:rPr>
              <w:t>提交响应文件的方式和截止时间</w:t>
            </w:r>
          </w:p>
        </w:tc>
        <w:tc>
          <w:tcPr>
            <w:tcW w:w="5475" w:type="dxa"/>
            <w:vAlign w:val="center"/>
          </w:tcPr>
          <w:p w14:paraId="109D4CEC">
            <w:pPr>
              <w:spacing w:line="360" w:lineRule="auto"/>
              <w:rPr>
                <w:rFonts w:ascii="仿宋" w:hAnsi="仿宋" w:eastAsia="仿宋"/>
                <w:sz w:val="24"/>
                <w:szCs w:val="24"/>
              </w:rPr>
            </w:pPr>
            <w:r>
              <w:rPr>
                <w:rFonts w:hint="eastAsia" w:ascii="仿宋" w:hAnsi="仿宋" w:eastAsia="仿宋"/>
                <w:sz w:val="24"/>
                <w:szCs w:val="24"/>
              </w:rPr>
              <w:t>见采购公告/邀请书</w:t>
            </w:r>
          </w:p>
        </w:tc>
      </w:tr>
      <w:tr w14:paraId="3541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15202B">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1EB09619">
            <w:pPr>
              <w:spacing w:line="360" w:lineRule="auto"/>
              <w:jc w:val="center"/>
              <w:rPr>
                <w:rFonts w:ascii="仿宋" w:hAnsi="仿宋" w:eastAsia="仿宋"/>
                <w:sz w:val="24"/>
                <w:szCs w:val="24"/>
              </w:rPr>
            </w:pPr>
            <w:r>
              <w:rPr>
                <w:rFonts w:hint="eastAsia" w:ascii="仿宋" w:hAnsi="仿宋" w:eastAsia="仿宋"/>
                <w:sz w:val="24"/>
                <w:szCs w:val="24"/>
              </w:rPr>
              <w:t>澄清与修改</w:t>
            </w:r>
          </w:p>
        </w:tc>
        <w:tc>
          <w:tcPr>
            <w:tcW w:w="5475" w:type="dxa"/>
            <w:vAlign w:val="center"/>
          </w:tcPr>
          <w:p w14:paraId="09194777">
            <w:pPr>
              <w:spacing w:line="360" w:lineRule="auto"/>
              <w:rPr>
                <w:rFonts w:ascii="仿宋" w:hAnsi="仿宋" w:eastAsia="仿宋"/>
                <w:sz w:val="24"/>
                <w:szCs w:val="24"/>
              </w:rPr>
            </w:pPr>
            <w:r>
              <w:rPr>
                <w:rFonts w:ascii="仿宋" w:hAnsi="仿宋" w:eastAsia="仿宋"/>
                <w:sz w:val="24"/>
                <w:szCs w:val="24"/>
              </w:rPr>
              <w:t>1、任何要求澄清的潜在</w:t>
            </w:r>
            <w:r>
              <w:rPr>
                <w:rFonts w:hint="eastAsia" w:ascii="仿宋" w:hAnsi="仿宋" w:eastAsia="仿宋"/>
                <w:sz w:val="24"/>
                <w:szCs w:val="24"/>
              </w:rPr>
              <w:t>响应单位</w:t>
            </w:r>
            <w:r>
              <w:rPr>
                <w:rFonts w:ascii="仿宋" w:hAnsi="仿宋" w:eastAsia="仿宋"/>
                <w:sz w:val="24"/>
                <w:szCs w:val="24"/>
              </w:rPr>
              <w:t>在领取询价文件后3日内，在守正平台递交需澄清的问题。</w:t>
            </w:r>
          </w:p>
          <w:p w14:paraId="6BE29323">
            <w:pPr>
              <w:spacing w:line="360" w:lineRule="auto"/>
              <w:rPr>
                <w:rFonts w:ascii="仿宋" w:hAnsi="仿宋" w:eastAsia="仿宋"/>
                <w:sz w:val="24"/>
                <w:szCs w:val="24"/>
              </w:rPr>
            </w:pPr>
            <w:r>
              <w:rPr>
                <w:rFonts w:ascii="仿宋" w:hAnsi="仿宋" w:eastAsia="仿宋"/>
                <w:sz w:val="24"/>
                <w:szCs w:val="24"/>
              </w:rPr>
              <w:t>2、采购人对其认为需要给予澄清、修改或其它答复的，在守正平台进行答复（不说明询问的来源）。</w:t>
            </w:r>
          </w:p>
          <w:p w14:paraId="17206BA6">
            <w:pPr>
              <w:spacing w:line="360" w:lineRule="auto"/>
              <w:rPr>
                <w:rFonts w:ascii="仿宋" w:hAnsi="仿宋" w:eastAsia="仿宋"/>
                <w:sz w:val="24"/>
                <w:szCs w:val="24"/>
              </w:rPr>
            </w:pPr>
            <w:r>
              <w:rPr>
                <w:rFonts w:ascii="仿宋" w:hAnsi="仿宋" w:eastAsia="仿宋"/>
                <w:sz w:val="24"/>
                <w:szCs w:val="24"/>
              </w:rPr>
              <w:t>3、采购人无论出于何种原因，均可主动对询价文件中的相关事项，用补充文件的方式进行澄清和修改。补充文件应当在提交</w:t>
            </w:r>
            <w:r>
              <w:rPr>
                <w:rFonts w:hint="eastAsia" w:ascii="仿宋" w:hAnsi="仿宋" w:eastAsia="仿宋"/>
                <w:sz w:val="24"/>
                <w:szCs w:val="24"/>
              </w:rPr>
              <w:t>响应</w:t>
            </w:r>
            <w:r>
              <w:rPr>
                <w:rFonts w:ascii="仿宋" w:hAnsi="仿宋" w:eastAsia="仿宋"/>
                <w:sz w:val="24"/>
                <w:szCs w:val="24"/>
              </w:rPr>
              <w:t>文件截止之日前2日发出，需要为此调整</w:t>
            </w:r>
            <w:r>
              <w:rPr>
                <w:rFonts w:hint="eastAsia" w:ascii="仿宋" w:hAnsi="仿宋" w:eastAsia="仿宋"/>
                <w:sz w:val="24"/>
                <w:szCs w:val="24"/>
              </w:rPr>
              <w:t>响应</w:t>
            </w:r>
            <w:r>
              <w:rPr>
                <w:rFonts w:ascii="仿宋" w:hAnsi="仿宋" w:eastAsia="仿宋"/>
                <w:sz w:val="24"/>
                <w:szCs w:val="24"/>
              </w:rPr>
              <w:t>文件提交截止时间的，应当重新发出通知或在补充文件中一并明确。</w:t>
            </w:r>
          </w:p>
          <w:p w14:paraId="08B97CE1">
            <w:pPr>
              <w:spacing w:line="360" w:lineRule="auto"/>
              <w:rPr>
                <w:rFonts w:ascii="仿宋" w:hAnsi="仿宋" w:eastAsia="仿宋"/>
                <w:sz w:val="24"/>
                <w:szCs w:val="24"/>
              </w:rPr>
            </w:pPr>
            <w:r>
              <w:rPr>
                <w:rFonts w:ascii="仿宋" w:hAnsi="仿宋" w:eastAsia="仿宋"/>
                <w:sz w:val="24"/>
                <w:szCs w:val="24"/>
              </w:rPr>
              <w:t>4、采购人一旦对</w:t>
            </w:r>
            <w:r>
              <w:rPr>
                <w:rFonts w:hint="eastAsia" w:ascii="仿宋" w:hAnsi="仿宋" w:eastAsia="仿宋"/>
                <w:sz w:val="24"/>
                <w:szCs w:val="24"/>
              </w:rPr>
              <w:t>询价</w:t>
            </w:r>
            <w:r>
              <w:rPr>
                <w:rFonts w:ascii="仿宋" w:hAnsi="仿宋" w:eastAsia="仿宋"/>
                <w:sz w:val="24"/>
                <w:szCs w:val="24"/>
              </w:rPr>
              <w:t>文件做出澄清、修改或其它答复，即刻发生效力，采购人有关的补充文件，应当作为报价文件的组成部分，对</w:t>
            </w:r>
            <w:r>
              <w:rPr>
                <w:rFonts w:hint="eastAsia" w:ascii="仿宋" w:hAnsi="仿宋" w:eastAsia="仿宋"/>
                <w:sz w:val="24"/>
                <w:szCs w:val="24"/>
              </w:rPr>
              <w:t>响应单位</w:t>
            </w:r>
            <w:r>
              <w:rPr>
                <w:rFonts w:ascii="仿宋" w:hAnsi="仿宋" w:eastAsia="仿宋"/>
                <w:sz w:val="24"/>
                <w:szCs w:val="24"/>
              </w:rPr>
              <w:t>均具有约束力。</w:t>
            </w:r>
          </w:p>
          <w:p w14:paraId="6101BDE1">
            <w:pPr>
              <w:spacing w:line="360" w:lineRule="auto"/>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响应单位</w:t>
            </w:r>
            <w:r>
              <w:rPr>
                <w:rFonts w:ascii="仿宋" w:hAnsi="仿宋" w:eastAsia="仿宋"/>
                <w:sz w:val="24"/>
                <w:szCs w:val="24"/>
              </w:rPr>
              <w:t>应及时登陆华润集团电子招标平台领取修改文件。修改文件一经平台发出，视为</w:t>
            </w:r>
            <w:r>
              <w:rPr>
                <w:rFonts w:hint="eastAsia" w:ascii="仿宋" w:hAnsi="仿宋" w:eastAsia="仿宋"/>
                <w:sz w:val="24"/>
                <w:szCs w:val="24"/>
              </w:rPr>
              <w:t>响应单位</w:t>
            </w:r>
            <w:r>
              <w:rPr>
                <w:rFonts w:ascii="仿宋" w:hAnsi="仿宋" w:eastAsia="仿宋"/>
                <w:sz w:val="24"/>
                <w:szCs w:val="24"/>
              </w:rPr>
              <w:t>已经收到该修改文件。</w:t>
            </w:r>
          </w:p>
        </w:tc>
      </w:tr>
      <w:tr w14:paraId="3C9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1918567">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7094B98">
            <w:pPr>
              <w:spacing w:line="360" w:lineRule="auto"/>
              <w:jc w:val="center"/>
              <w:rPr>
                <w:rFonts w:ascii="仿宋" w:hAnsi="仿宋" w:eastAsia="仿宋"/>
                <w:sz w:val="24"/>
                <w:szCs w:val="24"/>
              </w:rPr>
            </w:pPr>
            <w:r>
              <w:rPr>
                <w:rFonts w:hint="eastAsia" w:ascii="仿宋" w:hAnsi="仿宋" w:eastAsia="仿宋"/>
                <w:sz w:val="24"/>
                <w:szCs w:val="24"/>
              </w:rPr>
              <w:t>响应文件编制</w:t>
            </w:r>
          </w:p>
        </w:tc>
        <w:tc>
          <w:tcPr>
            <w:tcW w:w="5475" w:type="dxa"/>
            <w:vAlign w:val="center"/>
          </w:tcPr>
          <w:p w14:paraId="1DFCEEFB">
            <w:pPr>
              <w:spacing w:line="360" w:lineRule="auto"/>
              <w:rPr>
                <w:rFonts w:ascii="仿宋" w:hAnsi="仿宋" w:eastAsia="仿宋"/>
                <w:sz w:val="24"/>
                <w:szCs w:val="24"/>
              </w:rPr>
            </w:pPr>
            <w:r>
              <w:rPr>
                <w:rFonts w:hint="eastAsia" w:ascii="仿宋" w:hAnsi="仿宋" w:eastAsia="仿宋"/>
                <w:sz w:val="24"/>
                <w:szCs w:val="24"/>
              </w:rPr>
              <w:t>响应文件应按照</w:t>
            </w:r>
            <w:r>
              <w:rPr>
                <w:rFonts w:hint="eastAsia" w:ascii="仿宋" w:hAnsi="仿宋" w:eastAsia="仿宋"/>
                <w:sz w:val="24"/>
                <w:szCs w:val="24"/>
                <w:highlight w:val="none"/>
              </w:rPr>
              <w:t>第四卷</w:t>
            </w:r>
            <w:r>
              <w:rPr>
                <w:rFonts w:hint="eastAsia" w:ascii="仿宋" w:hAnsi="仿宋" w:eastAsia="仿宋"/>
                <w:sz w:val="24"/>
                <w:szCs w:val="24"/>
              </w:rPr>
              <w:t>响应文件格式编制，用不褪色的材料书写或打印，并由响应单位的法定代表人或其授权代表签字、盖单位章。</w:t>
            </w:r>
          </w:p>
        </w:tc>
      </w:tr>
      <w:tr w14:paraId="187A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A60E63E">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799AF239">
            <w:pPr>
              <w:spacing w:line="360" w:lineRule="auto"/>
              <w:jc w:val="center"/>
              <w:rPr>
                <w:rFonts w:ascii="仿宋" w:hAnsi="仿宋" w:eastAsia="仿宋"/>
                <w:sz w:val="24"/>
                <w:szCs w:val="24"/>
              </w:rPr>
            </w:pPr>
            <w:r>
              <w:rPr>
                <w:rFonts w:hint="eastAsia" w:ascii="仿宋" w:hAnsi="仿宋" w:eastAsia="仿宋"/>
                <w:sz w:val="24"/>
                <w:szCs w:val="24"/>
              </w:rPr>
              <w:t>签字或盖章要求</w:t>
            </w:r>
          </w:p>
        </w:tc>
        <w:tc>
          <w:tcPr>
            <w:tcW w:w="5475" w:type="dxa"/>
            <w:vAlign w:val="center"/>
          </w:tcPr>
          <w:p w14:paraId="6940ADF1">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1）所有要求签字的地方都应用不褪色的墨水或签字笔签字，所有要求盖章的地方都应加盖</w:t>
            </w:r>
            <w:r>
              <w:rPr>
                <w:rFonts w:hint="eastAsia" w:ascii="仿宋" w:hAnsi="仿宋" w:eastAsia="仿宋"/>
                <w:sz w:val="24"/>
                <w:szCs w:val="24"/>
              </w:rPr>
              <w:t>响应</w:t>
            </w:r>
            <w:r>
              <w:rPr>
                <w:rFonts w:ascii="仿宋" w:hAnsi="仿宋" w:eastAsia="仿宋"/>
                <w:sz w:val="24"/>
                <w:szCs w:val="24"/>
              </w:rPr>
              <w:t>单位（法定名称）章（鲜章）。</w:t>
            </w:r>
          </w:p>
          <w:p w14:paraId="2C5CF88D">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2）法定代表人</w:t>
            </w:r>
            <w:r>
              <w:rPr>
                <w:rFonts w:hint="eastAsia" w:ascii="仿宋" w:hAnsi="仿宋" w:eastAsia="仿宋"/>
                <w:sz w:val="24"/>
                <w:szCs w:val="24"/>
              </w:rPr>
              <w:t>委托授权代表</w:t>
            </w:r>
            <w:r>
              <w:rPr>
                <w:rFonts w:ascii="仿宋" w:hAnsi="仿宋" w:eastAsia="仿宋"/>
                <w:sz w:val="24"/>
                <w:szCs w:val="24"/>
              </w:rPr>
              <w:t>参加</w:t>
            </w:r>
            <w:r>
              <w:rPr>
                <w:rFonts w:hint="eastAsia" w:ascii="仿宋" w:hAnsi="仿宋" w:eastAsia="仿宋"/>
                <w:sz w:val="24"/>
                <w:szCs w:val="24"/>
              </w:rPr>
              <w:t>采购活动</w:t>
            </w:r>
            <w:r>
              <w:rPr>
                <w:rFonts w:ascii="仿宋" w:hAnsi="仿宋" w:eastAsia="仿宋"/>
                <w:sz w:val="24"/>
                <w:szCs w:val="24"/>
              </w:rPr>
              <w:t>的，</w:t>
            </w:r>
            <w:r>
              <w:rPr>
                <w:rFonts w:hint="eastAsia" w:ascii="仿宋" w:hAnsi="仿宋" w:eastAsia="仿宋"/>
                <w:sz w:val="24"/>
                <w:szCs w:val="24"/>
              </w:rPr>
              <w:t>授权代表</w:t>
            </w:r>
            <w:r>
              <w:rPr>
                <w:rFonts w:ascii="仿宋" w:hAnsi="仿宋" w:eastAsia="仿宋"/>
                <w:sz w:val="24"/>
                <w:szCs w:val="24"/>
              </w:rPr>
              <w:t>应用不褪色的墨水或签字笔由本人亲笔手写签字(包括姓和名)，不得用印章（如签名章、签字章等）或其他电子制版签名代替。</w:t>
            </w:r>
          </w:p>
        </w:tc>
      </w:tr>
      <w:tr w14:paraId="3D09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4BF2E49">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5BE47C07">
            <w:pPr>
              <w:spacing w:line="360" w:lineRule="auto"/>
              <w:jc w:val="center"/>
              <w:rPr>
                <w:rFonts w:ascii="仿宋" w:hAnsi="仿宋" w:eastAsia="仿宋"/>
                <w:sz w:val="24"/>
                <w:szCs w:val="24"/>
              </w:rPr>
            </w:pPr>
            <w:r>
              <w:rPr>
                <w:rFonts w:hint="eastAsia" w:ascii="仿宋" w:hAnsi="仿宋" w:eastAsia="仿宋"/>
                <w:sz w:val="24"/>
                <w:szCs w:val="24"/>
              </w:rPr>
              <w:t>响应文件递交</w:t>
            </w:r>
          </w:p>
        </w:tc>
        <w:tc>
          <w:tcPr>
            <w:tcW w:w="5475" w:type="dxa"/>
            <w:vAlign w:val="center"/>
          </w:tcPr>
          <w:p w14:paraId="0CB1F4E6">
            <w:pPr>
              <w:spacing w:line="360" w:lineRule="auto"/>
              <w:rPr>
                <w:rFonts w:ascii="仿宋" w:hAnsi="仿宋" w:eastAsia="仿宋"/>
                <w:sz w:val="24"/>
                <w:szCs w:val="24"/>
              </w:rPr>
            </w:pPr>
            <w:r>
              <w:rPr>
                <w:rFonts w:hint="eastAsia" w:ascii="仿宋" w:hAnsi="仿宋" w:eastAsia="仿宋"/>
                <w:sz w:val="24"/>
                <w:szCs w:val="24"/>
              </w:rPr>
              <w:t>响应文件编制完成后，</w:t>
            </w:r>
            <w:r>
              <w:rPr>
                <w:rFonts w:ascii="仿宋" w:hAnsi="仿宋" w:eastAsia="仿宋"/>
                <w:sz w:val="24"/>
                <w:szCs w:val="24"/>
              </w:rPr>
              <w:t>在响应文件递交截止时间之前上传到华润集团守正电子招标平台，采购人不再接收纸质响应文件。</w:t>
            </w:r>
          </w:p>
        </w:tc>
      </w:tr>
      <w:tr w14:paraId="19F6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82F99E6">
            <w:pPr>
              <w:pStyle w:val="12"/>
              <w:numPr>
                <w:ilvl w:val="0"/>
                <w:numId w:val="1"/>
              </w:numPr>
              <w:spacing w:line="360" w:lineRule="auto"/>
              <w:ind w:firstLineChars="0"/>
              <w:jc w:val="center"/>
              <w:rPr>
                <w:rFonts w:ascii="仿宋" w:hAnsi="仿宋" w:eastAsia="仿宋"/>
                <w:sz w:val="24"/>
                <w:szCs w:val="24"/>
              </w:rPr>
            </w:pPr>
          </w:p>
        </w:tc>
        <w:tc>
          <w:tcPr>
            <w:tcW w:w="1975" w:type="dxa"/>
            <w:vAlign w:val="center"/>
          </w:tcPr>
          <w:p w14:paraId="656973C5">
            <w:pPr>
              <w:spacing w:line="360" w:lineRule="auto"/>
              <w:jc w:val="center"/>
              <w:rPr>
                <w:rFonts w:ascii="仿宋" w:hAnsi="仿宋" w:eastAsia="仿宋"/>
                <w:sz w:val="24"/>
                <w:szCs w:val="24"/>
              </w:rPr>
            </w:pPr>
            <w:r>
              <w:rPr>
                <w:rFonts w:hint="eastAsia" w:ascii="仿宋" w:hAnsi="仿宋" w:eastAsia="仿宋"/>
                <w:sz w:val="24"/>
                <w:szCs w:val="24"/>
              </w:rPr>
              <w:t>其它要求及说明</w:t>
            </w:r>
          </w:p>
        </w:tc>
        <w:tc>
          <w:tcPr>
            <w:tcW w:w="5475" w:type="dxa"/>
            <w:vAlign w:val="center"/>
          </w:tcPr>
          <w:p w14:paraId="10D1AFB2">
            <w:pPr>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成交单位应在成交通知书发出之日起</w:t>
            </w:r>
            <w:r>
              <w:rPr>
                <w:rFonts w:ascii="仿宋" w:hAnsi="仿宋" w:eastAsia="仿宋"/>
                <w:sz w:val="24"/>
                <w:szCs w:val="24"/>
              </w:rPr>
              <w:t>30日内与我司签订合同，否则应依法承担相应的责任。</w:t>
            </w:r>
          </w:p>
          <w:p w14:paraId="3ACA2267">
            <w:pPr>
              <w:spacing w:line="36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若成交候选人无正当理由不与采购人订立合同，在签订合同时向采购人提出附加条件，或者不按照询价文件要求提交履约保证金，有多个成交候选人的，可顺位选择后续成交候选人签订合同，或重新组织采购活动。</w:t>
            </w:r>
          </w:p>
          <w:p w14:paraId="25A907FE">
            <w:pPr>
              <w:spacing w:line="36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供应商在采购活动中出现失信行为的，将按照华润燃气相关管理办法执行，详见第五卷 采购需求及附件《附件：供应商失信行为处置标准》。</w:t>
            </w:r>
          </w:p>
          <w:p w14:paraId="5C645261">
            <w:pPr>
              <w:spacing w:line="360" w:lineRule="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在合同期内，投标单位一旦被全国企业信用信息公示系统列入严重违法失信企业名单；或被“信用中国”网站列入失信被执行人名单；或被华润燃气集团列入黑名单的，招标人有权终止合同。</w:t>
            </w:r>
          </w:p>
        </w:tc>
      </w:tr>
    </w:tbl>
    <w:p w14:paraId="0EFADB50">
      <w:pPr>
        <w:rPr>
          <w:rFonts w:ascii="仿宋" w:hAnsi="仿宋" w:eastAsia="仿宋"/>
          <w:sz w:val="28"/>
          <w:szCs w:val="28"/>
        </w:rPr>
      </w:pPr>
      <w:r>
        <w:rPr>
          <w:rFonts w:ascii="仿宋" w:hAnsi="仿宋" w:eastAsia="仿宋"/>
          <w:sz w:val="28"/>
          <w:szCs w:val="28"/>
        </w:rPr>
        <w:br w:type="page"/>
      </w:r>
    </w:p>
    <w:p w14:paraId="01AABAD0">
      <w:pPr>
        <w:spacing w:after="312" w:afterLines="100"/>
        <w:jc w:val="center"/>
        <w:outlineLvl w:val="0"/>
        <w:rPr>
          <w:rFonts w:ascii="仿宋" w:hAnsi="仿宋" w:eastAsia="仿宋"/>
          <w:b/>
          <w:bCs/>
          <w:sz w:val="32"/>
          <w:szCs w:val="32"/>
        </w:rPr>
      </w:pPr>
      <w:r>
        <w:rPr>
          <w:rFonts w:hint="eastAsia" w:ascii="仿宋" w:hAnsi="仿宋" w:eastAsia="仿宋"/>
          <w:b/>
          <w:bCs/>
          <w:sz w:val="32"/>
          <w:szCs w:val="32"/>
        </w:rPr>
        <w:t>第二卷 评审程序</w:t>
      </w:r>
    </w:p>
    <w:p w14:paraId="551803C1">
      <w:pPr>
        <w:widowControl/>
        <w:spacing w:line="360" w:lineRule="auto"/>
        <w:jc w:val="left"/>
        <w:rPr>
          <w:rFonts w:ascii="仿宋" w:hAnsi="仿宋" w:eastAsia="仿宋"/>
          <w:sz w:val="24"/>
          <w:szCs w:val="24"/>
        </w:rPr>
      </w:pPr>
      <w:r>
        <w:rPr>
          <w:rFonts w:hint="eastAsia" w:ascii="仿宋" w:hAnsi="仿宋" w:eastAsia="仿宋"/>
          <w:sz w:val="24"/>
          <w:szCs w:val="24"/>
        </w:rPr>
        <w:t>一、评审方法</w:t>
      </w:r>
    </w:p>
    <w:p w14:paraId="57CCD26D">
      <w:pPr>
        <w:widowControl/>
        <w:spacing w:line="360"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rPr>
        <w:t>本项目采用</w:t>
      </w:r>
      <w:r>
        <w:rPr>
          <w:rFonts w:hint="eastAsia" w:ascii="仿宋" w:hAnsi="仿宋" w:eastAsia="仿宋"/>
          <w:sz w:val="24"/>
          <w:szCs w:val="24"/>
          <w:highlight w:val="none"/>
          <w:lang w:val="en-US" w:eastAsia="zh-CN"/>
        </w:rPr>
        <w:t>最低价中标</w:t>
      </w:r>
    </w:p>
    <w:p w14:paraId="49504C9A">
      <w:pPr>
        <w:widowControl/>
        <w:spacing w:line="360" w:lineRule="auto"/>
        <w:jc w:val="left"/>
        <w:rPr>
          <w:rFonts w:ascii="仿宋" w:hAnsi="仿宋" w:eastAsia="仿宋"/>
          <w:sz w:val="24"/>
          <w:szCs w:val="24"/>
        </w:rPr>
      </w:pPr>
      <w:r>
        <w:rPr>
          <w:rFonts w:hint="eastAsia" w:ascii="仿宋" w:hAnsi="仿宋" w:eastAsia="仿宋"/>
          <w:sz w:val="24"/>
          <w:szCs w:val="24"/>
        </w:rPr>
        <w:t>二、评审原则</w:t>
      </w:r>
    </w:p>
    <w:p w14:paraId="23FFFF6D">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评审应遵循公平、公正、科学、择优的原则。</w:t>
      </w:r>
    </w:p>
    <w:p w14:paraId="1E7517EB">
      <w:pPr>
        <w:widowControl/>
        <w:spacing w:line="360" w:lineRule="auto"/>
        <w:jc w:val="left"/>
        <w:rPr>
          <w:rFonts w:ascii="仿宋" w:hAnsi="仿宋" w:eastAsia="仿宋"/>
          <w:sz w:val="24"/>
          <w:szCs w:val="24"/>
        </w:rPr>
      </w:pPr>
      <w:r>
        <w:rPr>
          <w:rFonts w:hint="eastAsia" w:ascii="仿宋" w:hAnsi="仿宋" w:eastAsia="仿宋"/>
          <w:sz w:val="24"/>
          <w:szCs w:val="24"/>
        </w:rPr>
        <w:t>三、评审程序</w:t>
      </w:r>
    </w:p>
    <w:p w14:paraId="48B6B662">
      <w:pPr>
        <w:widowControl/>
        <w:spacing w:line="360" w:lineRule="auto"/>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资格审查</w:t>
      </w:r>
    </w:p>
    <w:tbl>
      <w:tblPr>
        <w:tblStyle w:val="7"/>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22"/>
        <w:gridCol w:w="5676"/>
      </w:tblGrid>
      <w:tr w14:paraId="2B36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67" w:type="dxa"/>
            <w:vMerge w:val="restart"/>
            <w:tcBorders>
              <w:top w:val="single" w:color="auto" w:sz="4" w:space="0"/>
              <w:left w:val="single" w:color="auto" w:sz="4" w:space="0"/>
              <w:right w:val="single" w:color="auto" w:sz="4" w:space="0"/>
            </w:tcBorders>
            <w:vAlign w:val="center"/>
          </w:tcPr>
          <w:p w14:paraId="48F0FD83">
            <w:pPr>
              <w:tabs>
                <w:tab w:val="left" w:pos="1035"/>
              </w:tabs>
              <w:spacing w:line="276" w:lineRule="auto"/>
              <w:jc w:val="center"/>
              <w:rPr>
                <w:rFonts w:ascii="仿宋" w:hAnsi="仿宋" w:eastAsia="仿宋"/>
                <w:b/>
                <w:sz w:val="24"/>
                <w:szCs w:val="24"/>
              </w:rPr>
            </w:pPr>
            <w:r>
              <w:rPr>
                <w:rFonts w:hint="eastAsia" w:ascii="仿宋" w:hAnsi="仿宋" w:eastAsia="仿宋"/>
                <w:b/>
                <w:sz w:val="24"/>
                <w:szCs w:val="24"/>
              </w:rPr>
              <w:t>资格审查</w:t>
            </w:r>
          </w:p>
        </w:tc>
        <w:tc>
          <w:tcPr>
            <w:tcW w:w="2122" w:type="dxa"/>
            <w:tcBorders>
              <w:top w:val="single" w:color="auto" w:sz="4" w:space="0"/>
              <w:left w:val="single" w:color="auto" w:sz="4" w:space="0"/>
              <w:bottom w:val="single" w:color="auto" w:sz="4" w:space="0"/>
              <w:right w:val="single" w:color="auto" w:sz="4" w:space="0"/>
            </w:tcBorders>
            <w:vAlign w:val="center"/>
          </w:tcPr>
          <w:p w14:paraId="604C3479">
            <w:pPr>
              <w:tabs>
                <w:tab w:val="left" w:pos="1035"/>
              </w:tabs>
              <w:spacing w:line="276" w:lineRule="auto"/>
              <w:jc w:val="center"/>
              <w:rPr>
                <w:rFonts w:ascii="仿宋" w:hAnsi="仿宋" w:eastAsia="仿宋"/>
                <w:b/>
                <w:sz w:val="24"/>
                <w:szCs w:val="24"/>
              </w:rPr>
            </w:pPr>
            <w:r>
              <w:rPr>
                <w:rFonts w:hint="eastAsia" w:ascii="仿宋" w:hAnsi="仿宋" w:eastAsia="仿宋"/>
                <w:b/>
                <w:sz w:val="24"/>
                <w:szCs w:val="24"/>
              </w:rPr>
              <w:t>评 审 因 素</w:t>
            </w:r>
          </w:p>
        </w:tc>
        <w:tc>
          <w:tcPr>
            <w:tcW w:w="5676" w:type="dxa"/>
            <w:tcBorders>
              <w:top w:val="single" w:color="auto" w:sz="4" w:space="0"/>
              <w:left w:val="single" w:color="auto" w:sz="4" w:space="0"/>
              <w:bottom w:val="single" w:color="auto" w:sz="4" w:space="0"/>
              <w:right w:val="single" w:color="auto" w:sz="4" w:space="0"/>
            </w:tcBorders>
            <w:vAlign w:val="center"/>
          </w:tcPr>
          <w:p w14:paraId="4D818E58">
            <w:pPr>
              <w:tabs>
                <w:tab w:val="left" w:pos="1035"/>
              </w:tabs>
              <w:spacing w:line="276" w:lineRule="auto"/>
              <w:jc w:val="center"/>
              <w:rPr>
                <w:rFonts w:ascii="仿宋" w:hAnsi="仿宋" w:eastAsia="仿宋"/>
                <w:b/>
                <w:sz w:val="24"/>
                <w:szCs w:val="24"/>
              </w:rPr>
            </w:pPr>
            <w:r>
              <w:rPr>
                <w:rFonts w:hint="eastAsia" w:ascii="仿宋" w:hAnsi="仿宋" w:eastAsia="仿宋"/>
                <w:b/>
                <w:sz w:val="24"/>
                <w:szCs w:val="24"/>
              </w:rPr>
              <w:t>评 审 标 准</w:t>
            </w:r>
          </w:p>
        </w:tc>
      </w:tr>
      <w:tr w14:paraId="20B0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7" w:type="dxa"/>
            <w:vMerge w:val="continue"/>
            <w:tcBorders>
              <w:left w:val="single" w:color="auto" w:sz="4" w:space="0"/>
              <w:right w:val="single" w:color="auto" w:sz="4" w:space="0"/>
            </w:tcBorders>
            <w:vAlign w:val="center"/>
          </w:tcPr>
          <w:p w14:paraId="39A5478C">
            <w:pPr>
              <w:tabs>
                <w:tab w:val="left" w:pos="1035"/>
              </w:tabs>
              <w:spacing w:line="276" w:lineRule="auto"/>
              <w:jc w:val="center"/>
              <w:rPr>
                <w:rFonts w:ascii="仿宋" w:hAnsi="仿宋" w:eastAsia="仿宋"/>
                <w:sz w:val="24"/>
                <w:szCs w:val="24"/>
              </w:rPr>
            </w:pPr>
          </w:p>
        </w:tc>
        <w:tc>
          <w:tcPr>
            <w:tcW w:w="2122" w:type="dxa"/>
            <w:tcBorders>
              <w:top w:val="single" w:color="auto" w:sz="4" w:space="0"/>
              <w:left w:val="single" w:color="auto" w:sz="4" w:space="0"/>
              <w:bottom w:val="single" w:color="auto" w:sz="4" w:space="0"/>
              <w:right w:val="single" w:color="auto" w:sz="4" w:space="0"/>
            </w:tcBorders>
            <w:vAlign w:val="center"/>
          </w:tcPr>
          <w:p w14:paraId="1454B4B5">
            <w:pPr>
              <w:tabs>
                <w:tab w:val="left" w:pos="1035"/>
              </w:tabs>
              <w:spacing w:line="276" w:lineRule="auto"/>
              <w:jc w:val="center"/>
              <w:rPr>
                <w:rFonts w:ascii="仿宋" w:hAnsi="仿宋" w:eastAsia="仿宋"/>
                <w:sz w:val="24"/>
                <w:szCs w:val="24"/>
              </w:rPr>
            </w:pPr>
            <w:r>
              <w:rPr>
                <w:rFonts w:hint="eastAsia" w:ascii="仿宋" w:hAnsi="仿宋" w:eastAsia="仿宋"/>
                <w:sz w:val="24"/>
                <w:szCs w:val="24"/>
              </w:rPr>
              <w:t>资格要求</w:t>
            </w:r>
          </w:p>
        </w:tc>
        <w:tc>
          <w:tcPr>
            <w:tcW w:w="5676" w:type="dxa"/>
            <w:tcBorders>
              <w:top w:val="single" w:color="auto" w:sz="4" w:space="0"/>
              <w:left w:val="single" w:color="auto" w:sz="4" w:space="0"/>
              <w:bottom w:val="single" w:color="auto" w:sz="4" w:space="0"/>
              <w:right w:val="single" w:color="auto" w:sz="4" w:space="0"/>
            </w:tcBorders>
            <w:vAlign w:val="center"/>
          </w:tcPr>
          <w:p w14:paraId="2597B028">
            <w:pPr>
              <w:tabs>
                <w:tab w:val="left" w:pos="1035"/>
              </w:tabs>
              <w:spacing w:line="276" w:lineRule="auto"/>
              <w:rPr>
                <w:rFonts w:ascii="仿宋" w:hAnsi="仿宋" w:eastAsia="仿宋"/>
                <w:sz w:val="24"/>
                <w:szCs w:val="24"/>
              </w:rPr>
            </w:pPr>
            <w:r>
              <w:rPr>
                <w:rFonts w:hint="eastAsia" w:ascii="仿宋" w:hAnsi="仿宋" w:eastAsia="仿宋"/>
                <w:sz w:val="24"/>
                <w:szCs w:val="24"/>
              </w:rPr>
              <w:t>按照“供应商须知前附表”中的“供应商资格要求”和“响应单位不得存在的情形”对</w:t>
            </w:r>
            <w:bookmarkStart w:id="2" w:name="_Hlk137634639"/>
            <w:r>
              <w:rPr>
                <w:rFonts w:hint="eastAsia" w:ascii="仿宋" w:hAnsi="仿宋" w:eastAsia="仿宋"/>
                <w:sz w:val="24"/>
                <w:szCs w:val="24"/>
              </w:rPr>
              <w:t>响应单位</w:t>
            </w:r>
            <w:bookmarkEnd w:id="2"/>
            <w:r>
              <w:rPr>
                <w:rFonts w:hint="eastAsia" w:ascii="仿宋" w:hAnsi="仿宋" w:eastAsia="仿宋"/>
                <w:sz w:val="24"/>
                <w:szCs w:val="24"/>
              </w:rPr>
              <w:t>提供的响应文件进行审查，确认是否符合要求。</w:t>
            </w:r>
          </w:p>
        </w:tc>
      </w:tr>
      <w:tr w14:paraId="0926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7" w:type="dxa"/>
            <w:vMerge w:val="continue"/>
            <w:tcBorders>
              <w:left w:val="single" w:color="auto" w:sz="4" w:space="0"/>
              <w:right w:val="single" w:color="auto" w:sz="4" w:space="0"/>
            </w:tcBorders>
            <w:vAlign w:val="center"/>
          </w:tcPr>
          <w:p w14:paraId="2EBBB455">
            <w:pPr>
              <w:widowControl/>
              <w:spacing w:line="276" w:lineRule="auto"/>
              <w:jc w:val="left"/>
              <w:rPr>
                <w:rFonts w:ascii="仿宋" w:hAnsi="仿宋" w:eastAsia="仿宋"/>
                <w:sz w:val="24"/>
                <w:szCs w:val="24"/>
              </w:rPr>
            </w:pPr>
          </w:p>
        </w:tc>
        <w:tc>
          <w:tcPr>
            <w:tcW w:w="2122" w:type="dxa"/>
            <w:tcBorders>
              <w:top w:val="single" w:color="auto" w:sz="4" w:space="0"/>
              <w:left w:val="single" w:color="auto" w:sz="4" w:space="0"/>
              <w:bottom w:val="single" w:color="auto" w:sz="4" w:space="0"/>
              <w:right w:val="single" w:color="auto" w:sz="4" w:space="0"/>
            </w:tcBorders>
            <w:vAlign w:val="center"/>
          </w:tcPr>
          <w:p w14:paraId="00A46774">
            <w:pPr>
              <w:tabs>
                <w:tab w:val="left" w:pos="1035"/>
              </w:tabs>
              <w:spacing w:line="276" w:lineRule="auto"/>
              <w:jc w:val="center"/>
              <w:rPr>
                <w:rFonts w:ascii="仿宋" w:hAnsi="仿宋" w:eastAsia="仿宋"/>
                <w:sz w:val="24"/>
                <w:szCs w:val="24"/>
              </w:rPr>
            </w:pPr>
            <w:r>
              <w:rPr>
                <w:rFonts w:hint="eastAsia" w:ascii="仿宋" w:hAnsi="仿宋" w:eastAsia="仿宋"/>
                <w:sz w:val="24"/>
                <w:szCs w:val="24"/>
              </w:rPr>
              <w:t>响应性评审</w:t>
            </w:r>
          </w:p>
        </w:tc>
        <w:tc>
          <w:tcPr>
            <w:tcW w:w="5676" w:type="dxa"/>
            <w:tcBorders>
              <w:top w:val="single" w:color="auto" w:sz="4" w:space="0"/>
              <w:left w:val="single" w:color="auto" w:sz="4" w:space="0"/>
              <w:bottom w:val="single" w:color="auto" w:sz="4" w:space="0"/>
              <w:right w:val="single" w:color="auto" w:sz="4" w:space="0"/>
            </w:tcBorders>
            <w:vAlign w:val="center"/>
          </w:tcPr>
          <w:p w14:paraId="73A83624">
            <w:pPr>
              <w:tabs>
                <w:tab w:val="left" w:pos="1035"/>
              </w:tabs>
              <w:spacing w:line="276" w:lineRule="auto"/>
              <w:rPr>
                <w:rFonts w:ascii="仿宋" w:hAnsi="仿宋" w:eastAsia="仿宋"/>
                <w:sz w:val="24"/>
                <w:szCs w:val="24"/>
              </w:rPr>
            </w:pPr>
            <w:r>
              <w:rPr>
                <w:rFonts w:hint="eastAsia" w:ascii="仿宋" w:hAnsi="仿宋" w:eastAsia="仿宋"/>
                <w:sz w:val="24"/>
                <w:szCs w:val="24"/>
              </w:rPr>
              <w:t>按照“供应商须知前附表”中的工期</w:t>
            </w:r>
            <w:r>
              <w:rPr>
                <w:rFonts w:ascii="仿宋" w:hAnsi="仿宋" w:eastAsia="仿宋"/>
                <w:sz w:val="24"/>
                <w:szCs w:val="24"/>
              </w:rPr>
              <w:t>/交货期/服务期</w:t>
            </w:r>
            <w:r>
              <w:rPr>
                <w:rFonts w:hint="eastAsia" w:ascii="仿宋" w:hAnsi="仿宋" w:eastAsia="仿宋"/>
                <w:sz w:val="24"/>
                <w:szCs w:val="24"/>
              </w:rPr>
              <w:t>、质量要求、安全要求、限价以及工程量清单给出的范围及数量等要求，对响应单位提供的响应文件进行审查，确认是否符合要求。</w:t>
            </w:r>
          </w:p>
        </w:tc>
      </w:tr>
      <w:tr w14:paraId="349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67" w:type="dxa"/>
            <w:vMerge w:val="continue"/>
            <w:tcBorders>
              <w:left w:val="single" w:color="auto" w:sz="4" w:space="0"/>
              <w:right w:val="single" w:color="auto" w:sz="4" w:space="0"/>
            </w:tcBorders>
            <w:vAlign w:val="center"/>
          </w:tcPr>
          <w:p w14:paraId="2ED330B4">
            <w:pPr>
              <w:widowControl/>
              <w:spacing w:line="276" w:lineRule="auto"/>
              <w:jc w:val="left"/>
              <w:rPr>
                <w:rFonts w:ascii="仿宋" w:hAnsi="仿宋" w:eastAsia="仿宋"/>
                <w:sz w:val="24"/>
                <w:szCs w:val="24"/>
              </w:rPr>
            </w:pPr>
          </w:p>
        </w:tc>
        <w:tc>
          <w:tcPr>
            <w:tcW w:w="2122" w:type="dxa"/>
            <w:tcBorders>
              <w:top w:val="single" w:color="auto" w:sz="4" w:space="0"/>
              <w:left w:val="single" w:color="auto" w:sz="4" w:space="0"/>
              <w:bottom w:val="single" w:color="auto" w:sz="4" w:space="0"/>
              <w:right w:val="single" w:color="auto" w:sz="4" w:space="0"/>
            </w:tcBorders>
            <w:vAlign w:val="center"/>
          </w:tcPr>
          <w:p w14:paraId="6639BECF">
            <w:pPr>
              <w:tabs>
                <w:tab w:val="left" w:pos="1035"/>
              </w:tabs>
              <w:spacing w:line="276" w:lineRule="auto"/>
              <w:jc w:val="center"/>
              <w:rPr>
                <w:rFonts w:ascii="仿宋" w:hAnsi="仿宋" w:eastAsia="仿宋"/>
                <w:sz w:val="24"/>
                <w:szCs w:val="24"/>
              </w:rPr>
            </w:pPr>
            <w:r>
              <w:rPr>
                <w:rFonts w:hint="eastAsia" w:ascii="仿宋" w:hAnsi="仿宋" w:eastAsia="仿宋"/>
                <w:sz w:val="24"/>
                <w:szCs w:val="24"/>
              </w:rPr>
              <w:t>低于成本评审</w:t>
            </w:r>
          </w:p>
        </w:tc>
        <w:tc>
          <w:tcPr>
            <w:tcW w:w="5676" w:type="dxa"/>
            <w:tcBorders>
              <w:top w:val="single" w:color="auto" w:sz="4" w:space="0"/>
              <w:left w:val="single" w:color="auto" w:sz="4" w:space="0"/>
              <w:bottom w:val="single" w:color="auto" w:sz="4" w:space="0"/>
              <w:right w:val="single" w:color="auto" w:sz="4" w:space="0"/>
            </w:tcBorders>
            <w:vAlign w:val="center"/>
          </w:tcPr>
          <w:p w14:paraId="1D6866C9">
            <w:pPr>
              <w:tabs>
                <w:tab w:val="left" w:pos="1035"/>
              </w:tabs>
              <w:spacing w:line="276" w:lineRule="auto"/>
              <w:rPr>
                <w:rFonts w:ascii="仿宋" w:hAnsi="仿宋" w:eastAsia="仿宋"/>
                <w:sz w:val="24"/>
                <w:szCs w:val="24"/>
              </w:rPr>
            </w:pPr>
            <w:r>
              <w:rPr>
                <w:rFonts w:hint="eastAsia" w:ascii="仿宋" w:hAnsi="仿宋" w:eastAsia="仿宋"/>
                <w:sz w:val="24"/>
                <w:szCs w:val="24"/>
              </w:rPr>
              <w:t>发现响应单位的报价明显低于其他响应报价，或者在设有标底时明显低于标底，使得其响应报价可能低于其成本的，应当要求该响应单位作出书面说明并提供相应的证明材料。响应单位不能合理说明或者不能提供相应证明材料的，由评审小组认定该响应单位以低于成本报价，其响应文件作废标处理。</w:t>
            </w:r>
          </w:p>
        </w:tc>
      </w:tr>
    </w:tbl>
    <w:p w14:paraId="7F6A7C79">
      <w:pPr>
        <w:widowControl/>
        <w:spacing w:line="360" w:lineRule="auto"/>
        <w:rPr>
          <w:rFonts w:ascii="仿宋" w:hAnsi="仿宋" w:eastAsia="仿宋"/>
          <w:sz w:val="24"/>
          <w:szCs w:val="24"/>
        </w:rPr>
      </w:pPr>
      <w:r>
        <w:rPr>
          <w:rFonts w:ascii="仿宋" w:hAnsi="仿宋" w:eastAsia="仿宋"/>
          <w:sz w:val="24"/>
          <w:szCs w:val="24"/>
        </w:rPr>
        <w:t>1.1评审小组依据上表中资格审查评审标准对响应文件进行资格审查。如响应文件中有一项不符合评审标准的，该</w:t>
      </w:r>
      <w:r>
        <w:rPr>
          <w:rFonts w:hint="eastAsia" w:ascii="仿宋" w:hAnsi="仿宋" w:eastAsia="仿宋"/>
          <w:sz w:val="24"/>
          <w:szCs w:val="24"/>
        </w:rPr>
        <w:t>响应单位</w:t>
      </w:r>
      <w:r>
        <w:rPr>
          <w:rFonts w:ascii="仿宋" w:hAnsi="仿宋" w:eastAsia="仿宋"/>
          <w:sz w:val="24"/>
          <w:szCs w:val="24"/>
        </w:rPr>
        <w:t>资格审查不通过，评审小组应当否决其响应文件。</w:t>
      </w:r>
    </w:p>
    <w:p w14:paraId="2F0C9DAD">
      <w:pPr>
        <w:widowControl/>
        <w:spacing w:line="360" w:lineRule="auto"/>
        <w:rPr>
          <w:rFonts w:ascii="仿宋" w:hAnsi="仿宋" w:eastAsia="仿宋"/>
          <w:sz w:val="24"/>
          <w:szCs w:val="24"/>
        </w:rPr>
      </w:pPr>
      <w:r>
        <w:rPr>
          <w:rFonts w:ascii="仿宋" w:hAnsi="仿宋" w:eastAsia="仿宋"/>
          <w:sz w:val="24"/>
          <w:szCs w:val="24"/>
        </w:rPr>
        <w:t>1.2其他否决响应文件情形：</w:t>
      </w:r>
    </w:p>
    <w:p w14:paraId="3A8F31A4">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1）响应文件没有按供应商须知</w:t>
      </w:r>
      <w:r>
        <w:rPr>
          <w:rFonts w:hint="eastAsia" w:ascii="仿宋" w:hAnsi="仿宋" w:eastAsia="仿宋"/>
          <w:sz w:val="24"/>
          <w:szCs w:val="24"/>
        </w:rPr>
        <w:t>前附表</w:t>
      </w:r>
      <w:r>
        <w:rPr>
          <w:rFonts w:ascii="仿宋" w:hAnsi="仿宋" w:eastAsia="仿宋"/>
          <w:sz w:val="24"/>
          <w:szCs w:val="24"/>
        </w:rPr>
        <w:t>中要求签字或盖章；</w:t>
      </w:r>
    </w:p>
    <w:p w14:paraId="2225CE26">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2）响应文件没有对询价文件的实质性要求和条件作出响应；</w:t>
      </w:r>
    </w:p>
    <w:p w14:paraId="2E197077">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3）有串通</w:t>
      </w:r>
      <w:r>
        <w:rPr>
          <w:rFonts w:hint="eastAsia" w:ascii="仿宋" w:hAnsi="仿宋" w:eastAsia="仿宋"/>
          <w:sz w:val="24"/>
          <w:szCs w:val="24"/>
        </w:rPr>
        <w:t>报价</w:t>
      </w:r>
      <w:r>
        <w:rPr>
          <w:rFonts w:ascii="仿宋" w:hAnsi="仿宋" w:eastAsia="仿宋"/>
          <w:sz w:val="24"/>
          <w:szCs w:val="24"/>
        </w:rPr>
        <w:t>、弄虚作假、行贿等违法行为；</w:t>
      </w:r>
    </w:p>
    <w:p w14:paraId="16739569">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4）附有</w:t>
      </w:r>
      <w:r>
        <w:rPr>
          <w:rFonts w:hint="eastAsia" w:ascii="仿宋" w:hAnsi="仿宋" w:eastAsia="仿宋"/>
          <w:sz w:val="24"/>
          <w:szCs w:val="24"/>
        </w:rPr>
        <w:t>采购</w:t>
      </w:r>
      <w:r>
        <w:rPr>
          <w:rFonts w:ascii="仿宋" w:hAnsi="仿宋" w:eastAsia="仿宋"/>
          <w:sz w:val="24"/>
          <w:szCs w:val="24"/>
        </w:rPr>
        <w:t>人不能接受的附加条款；</w:t>
      </w:r>
    </w:p>
    <w:p w14:paraId="6A18074C">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5）经评审委员会评定，认为所有</w:t>
      </w:r>
      <w:r>
        <w:rPr>
          <w:rFonts w:hint="eastAsia" w:ascii="仿宋" w:hAnsi="仿宋" w:eastAsia="仿宋"/>
          <w:sz w:val="24"/>
          <w:szCs w:val="24"/>
        </w:rPr>
        <w:t>响应单位</w:t>
      </w:r>
      <w:r>
        <w:rPr>
          <w:rFonts w:ascii="仿宋" w:hAnsi="仿宋" w:eastAsia="仿宋"/>
          <w:sz w:val="24"/>
          <w:szCs w:val="24"/>
        </w:rPr>
        <w:t>报价均明显高出市场合理价时，可以否决所有</w:t>
      </w:r>
      <w:r>
        <w:rPr>
          <w:rFonts w:hint="eastAsia" w:ascii="仿宋" w:hAnsi="仿宋" w:eastAsia="仿宋"/>
          <w:sz w:val="24"/>
          <w:szCs w:val="24"/>
        </w:rPr>
        <w:t>响应文件；</w:t>
      </w:r>
    </w:p>
    <w:p w14:paraId="5B6B366A">
      <w:pPr>
        <w:widowControl/>
        <w:spacing w:line="360" w:lineRule="auto"/>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）允许联合体响应的，联合体未提交联合投标协议或者联合体各方以自己名义或加入其他联合体响应的，其投标文件将被否决。</w:t>
      </w:r>
    </w:p>
    <w:p w14:paraId="0D07EE2D">
      <w:pPr>
        <w:widowControl/>
        <w:spacing w:line="360" w:lineRule="auto"/>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4"/>
          <w:lang w:val="en-US" w:eastAsia="zh-CN"/>
        </w:rPr>
        <w:t>投标人被招标人或华润燃气集团任何一方列入黑名单</w:t>
      </w:r>
    </w:p>
    <w:p w14:paraId="1E5FDCC5">
      <w:pPr>
        <w:widowControl/>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（8）相应单位不得存在以下情形：</w:t>
      </w:r>
    </w:p>
    <w:p w14:paraId="64F1B455">
      <w:pPr>
        <w:widowControl/>
        <w:spacing w:line="360" w:lineRule="auto"/>
        <w:rPr>
          <w:rFonts w:hint="eastAsia" w:ascii="仿宋" w:hAnsi="仿宋" w:eastAsia="仿宋"/>
          <w:sz w:val="24"/>
          <w:szCs w:val="24"/>
        </w:rPr>
      </w:pPr>
      <w:r>
        <w:rPr>
          <w:rFonts w:hint="eastAsia" w:ascii="仿宋" w:hAnsi="仿宋" w:eastAsia="仿宋"/>
          <w:sz w:val="24"/>
          <w:szCs w:val="24"/>
        </w:rPr>
        <w:t>1.响应单位不得存在下列情形之一：</w:t>
      </w:r>
    </w:p>
    <w:p w14:paraId="3908BF96">
      <w:pPr>
        <w:widowControl/>
        <w:spacing w:line="360" w:lineRule="auto"/>
        <w:rPr>
          <w:rFonts w:hint="eastAsia" w:ascii="仿宋" w:hAnsi="仿宋" w:eastAsia="仿宋"/>
          <w:sz w:val="24"/>
          <w:szCs w:val="24"/>
        </w:rPr>
      </w:pPr>
      <w:r>
        <w:rPr>
          <w:rFonts w:hint="eastAsia" w:ascii="仿宋" w:hAnsi="仿宋" w:eastAsia="仿宋"/>
          <w:sz w:val="24"/>
          <w:szCs w:val="24"/>
        </w:rPr>
        <w:t>1）为采购人不具有独立法人资格的附属机构（单位）；</w:t>
      </w:r>
    </w:p>
    <w:p w14:paraId="4E199381">
      <w:pPr>
        <w:widowControl/>
        <w:spacing w:line="360" w:lineRule="auto"/>
        <w:rPr>
          <w:rFonts w:hint="eastAsia" w:ascii="仿宋" w:hAnsi="仿宋" w:eastAsia="仿宋"/>
          <w:sz w:val="24"/>
          <w:szCs w:val="24"/>
        </w:rPr>
      </w:pPr>
      <w:r>
        <w:rPr>
          <w:rFonts w:hint="eastAsia" w:ascii="仿宋" w:hAnsi="仿宋" w:eastAsia="仿宋"/>
          <w:sz w:val="24"/>
          <w:szCs w:val="24"/>
        </w:rPr>
        <w:t>2）为本项目前期准备提供设计或咨询服务的，但设计施工总承包的除外；</w:t>
      </w:r>
    </w:p>
    <w:p w14:paraId="53DC5556">
      <w:pPr>
        <w:widowControl/>
        <w:spacing w:line="360" w:lineRule="auto"/>
        <w:rPr>
          <w:rFonts w:hint="eastAsia" w:ascii="仿宋" w:hAnsi="仿宋" w:eastAsia="仿宋"/>
          <w:sz w:val="24"/>
          <w:szCs w:val="24"/>
        </w:rPr>
      </w:pPr>
      <w:r>
        <w:rPr>
          <w:rFonts w:hint="eastAsia" w:ascii="仿宋" w:hAnsi="仿宋" w:eastAsia="仿宋"/>
          <w:sz w:val="24"/>
          <w:szCs w:val="24"/>
        </w:rPr>
        <w:t>3）为本项目的监理人；</w:t>
      </w:r>
    </w:p>
    <w:p w14:paraId="3F8DCB40">
      <w:pPr>
        <w:widowControl/>
        <w:spacing w:line="360" w:lineRule="auto"/>
        <w:rPr>
          <w:rFonts w:hint="eastAsia" w:ascii="仿宋" w:hAnsi="仿宋" w:eastAsia="仿宋"/>
          <w:sz w:val="24"/>
          <w:szCs w:val="24"/>
        </w:rPr>
      </w:pPr>
      <w:r>
        <w:rPr>
          <w:rFonts w:hint="eastAsia" w:ascii="仿宋" w:hAnsi="仿宋" w:eastAsia="仿宋"/>
          <w:sz w:val="24"/>
          <w:szCs w:val="24"/>
        </w:rPr>
        <w:t xml:space="preserve">4）为本项目的代建人； </w:t>
      </w:r>
    </w:p>
    <w:p w14:paraId="416C4068">
      <w:pPr>
        <w:widowControl/>
        <w:spacing w:line="360" w:lineRule="auto"/>
        <w:rPr>
          <w:rFonts w:hint="eastAsia" w:ascii="仿宋" w:hAnsi="仿宋" w:eastAsia="仿宋"/>
          <w:sz w:val="24"/>
          <w:szCs w:val="24"/>
        </w:rPr>
      </w:pPr>
      <w:r>
        <w:rPr>
          <w:rFonts w:hint="eastAsia" w:ascii="仿宋" w:hAnsi="仿宋" w:eastAsia="仿宋"/>
          <w:sz w:val="24"/>
          <w:szCs w:val="24"/>
        </w:rPr>
        <w:t>5）为本项目提供采购代理服务的；</w:t>
      </w:r>
    </w:p>
    <w:p w14:paraId="5C14E82F">
      <w:pPr>
        <w:widowControl/>
        <w:spacing w:line="360" w:lineRule="auto"/>
        <w:rPr>
          <w:rFonts w:hint="eastAsia" w:ascii="仿宋" w:hAnsi="仿宋" w:eastAsia="仿宋"/>
          <w:sz w:val="24"/>
          <w:szCs w:val="24"/>
        </w:rPr>
      </w:pPr>
      <w:r>
        <w:rPr>
          <w:rFonts w:hint="eastAsia" w:ascii="仿宋" w:hAnsi="仿宋" w:eastAsia="仿宋"/>
          <w:sz w:val="24"/>
          <w:szCs w:val="24"/>
        </w:rPr>
        <w:t>6）与本项目的监理人或代建人或平台运营方同为一个法定代表人的；</w:t>
      </w:r>
    </w:p>
    <w:p w14:paraId="09D0FF8F">
      <w:pPr>
        <w:widowControl/>
        <w:spacing w:line="360" w:lineRule="auto"/>
        <w:rPr>
          <w:rFonts w:hint="eastAsia" w:ascii="仿宋" w:hAnsi="仿宋" w:eastAsia="仿宋"/>
          <w:sz w:val="24"/>
          <w:szCs w:val="24"/>
        </w:rPr>
      </w:pPr>
      <w:r>
        <w:rPr>
          <w:rFonts w:hint="eastAsia" w:ascii="仿宋" w:hAnsi="仿宋" w:eastAsia="仿宋"/>
          <w:sz w:val="24"/>
          <w:szCs w:val="24"/>
        </w:rPr>
        <w:t>7）与本项目的监理人或代建人或平台运营方相互控股或参股的；</w:t>
      </w:r>
    </w:p>
    <w:p w14:paraId="1A7BAF12">
      <w:pPr>
        <w:widowControl/>
        <w:spacing w:line="360" w:lineRule="auto"/>
        <w:rPr>
          <w:rFonts w:hint="eastAsia" w:ascii="仿宋" w:hAnsi="仿宋" w:eastAsia="仿宋"/>
          <w:sz w:val="24"/>
          <w:szCs w:val="24"/>
        </w:rPr>
      </w:pPr>
      <w:r>
        <w:rPr>
          <w:rFonts w:hint="eastAsia" w:ascii="仿宋" w:hAnsi="仿宋" w:eastAsia="仿宋"/>
          <w:sz w:val="24"/>
          <w:szCs w:val="24"/>
        </w:rPr>
        <w:t>8）与本项目的监理人或代建人或平台运营方相互任职或工作的；</w:t>
      </w:r>
    </w:p>
    <w:p w14:paraId="5AC5AEF6">
      <w:pPr>
        <w:widowControl/>
        <w:spacing w:line="360" w:lineRule="auto"/>
        <w:rPr>
          <w:rFonts w:hint="eastAsia" w:ascii="仿宋" w:hAnsi="仿宋" w:eastAsia="仿宋"/>
          <w:sz w:val="24"/>
          <w:szCs w:val="24"/>
        </w:rPr>
      </w:pPr>
      <w:r>
        <w:rPr>
          <w:rFonts w:hint="eastAsia" w:ascii="仿宋" w:hAnsi="仿宋" w:eastAsia="仿宋"/>
          <w:sz w:val="24"/>
          <w:szCs w:val="24"/>
        </w:rPr>
        <w:t>9）被责令停业的；</w:t>
      </w:r>
    </w:p>
    <w:p w14:paraId="43901574">
      <w:pPr>
        <w:widowControl/>
        <w:spacing w:line="360" w:lineRule="auto"/>
        <w:rPr>
          <w:rFonts w:hint="eastAsia" w:ascii="仿宋" w:hAnsi="仿宋" w:eastAsia="仿宋"/>
          <w:sz w:val="24"/>
          <w:szCs w:val="24"/>
        </w:rPr>
      </w:pPr>
      <w:r>
        <w:rPr>
          <w:rFonts w:hint="eastAsia" w:ascii="仿宋" w:hAnsi="仿宋" w:eastAsia="仿宋"/>
          <w:sz w:val="24"/>
          <w:szCs w:val="24"/>
        </w:rPr>
        <w:t>10）被暂停或取消投标资格的；</w:t>
      </w:r>
    </w:p>
    <w:p w14:paraId="46B25977">
      <w:pPr>
        <w:widowControl/>
        <w:spacing w:line="360" w:lineRule="auto"/>
        <w:rPr>
          <w:rFonts w:hint="eastAsia" w:ascii="仿宋" w:hAnsi="仿宋" w:eastAsia="仿宋"/>
          <w:sz w:val="24"/>
          <w:szCs w:val="24"/>
        </w:rPr>
      </w:pPr>
      <w:r>
        <w:rPr>
          <w:rFonts w:hint="eastAsia" w:ascii="仿宋" w:hAnsi="仿宋" w:eastAsia="仿宋"/>
          <w:sz w:val="24"/>
          <w:szCs w:val="24"/>
        </w:rPr>
        <w:t>11）财产被接管或冻结的；</w:t>
      </w:r>
    </w:p>
    <w:p w14:paraId="4191FDB2">
      <w:pPr>
        <w:widowControl/>
        <w:spacing w:line="360" w:lineRule="auto"/>
        <w:rPr>
          <w:rFonts w:hint="eastAsia" w:ascii="仿宋" w:hAnsi="仿宋" w:eastAsia="仿宋"/>
          <w:sz w:val="24"/>
          <w:szCs w:val="24"/>
        </w:rPr>
      </w:pPr>
      <w:r>
        <w:rPr>
          <w:rFonts w:hint="eastAsia" w:ascii="仿宋" w:hAnsi="仿宋" w:eastAsia="仿宋"/>
          <w:sz w:val="24"/>
          <w:szCs w:val="24"/>
        </w:rPr>
        <w:t>12）在最近三年内有骗取中标或严重违约或重大工程质量问题的。</w:t>
      </w:r>
    </w:p>
    <w:p w14:paraId="6AFDEB88">
      <w:pPr>
        <w:widowControl/>
        <w:spacing w:line="360" w:lineRule="auto"/>
        <w:rPr>
          <w:rFonts w:hint="eastAsia" w:ascii="仿宋" w:hAnsi="仿宋" w:eastAsia="仿宋"/>
          <w:sz w:val="24"/>
          <w:szCs w:val="24"/>
        </w:rPr>
      </w:pPr>
      <w:r>
        <w:rPr>
          <w:rFonts w:hint="eastAsia" w:ascii="仿宋" w:hAnsi="仿宋" w:eastAsia="仿宋"/>
          <w:sz w:val="24"/>
          <w:szCs w:val="24"/>
        </w:rPr>
        <w:t>13）法律法规或供应商须知前附表规定的其他情形。</w:t>
      </w:r>
    </w:p>
    <w:p w14:paraId="2A5B2ECC">
      <w:pPr>
        <w:widowControl/>
        <w:spacing w:line="360" w:lineRule="auto"/>
        <w:rPr>
          <w:rFonts w:hint="eastAsia" w:ascii="仿宋" w:hAnsi="仿宋" w:eastAsia="仿宋"/>
          <w:sz w:val="24"/>
          <w:szCs w:val="24"/>
        </w:rPr>
      </w:pPr>
      <w:r>
        <w:rPr>
          <w:rFonts w:hint="eastAsia" w:ascii="仿宋" w:hAnsi="仿宋" w:eastAsia="仿宋"/>
          <w:sz w:val="24"/>
          <w:szCs w:val="24"/>
        </w:rPr>
        <w:t>2.响应单位间不得具有下列关系之一：</w:t>
      </w:r>
    </w:p>
    <w:p w14:paraId="6B5C0927">
      <w:pPr>
        <w:widowControl/>
        <w:spacing w:line="360" w:lineRule="auto"/>
        <w:rPr>
          <w:rFonts w:hint="eastAsia" w:ascii="仿宋" w:hAnsi="仿宋" w:eastAsia="仿宋"/>
          <w:sz w:val="24"/>
          <w:szCs w:val="24"/>
        </w:rPr>
      </w:pPr>
      <w:r>
        <w:rPr>
          <w:rFonts w:hint="eastAsia" w:ascii="仿宋" w:hAnsi="仿宋" w:eastAsia="仿宋"/>
          <w:sz w:val="24"/>
          <w:szCs w:val="24"/>
        </w:rPr>
        <w:t>1）单位负责人为同一人。</w:t>
      </w:r>
    </w:p>
    <w:p w14:paraId="0A863787">
      <w:pPr>
        <w:widowControl/>
        <w:spacing w:line="360" w:lineRule="auto"/>
        <w:rPr>
          <w:rFonts w:hint="eastAsia" w:ascii="仿宋" w:hAnsi="仿宋" w:eastAsia="仿宋"/>
          <w:sz w:val="24"/>
          <w:szCs w:val="24"/>
        </w:rPr>
      </w:pPr>
      <w:r>
        <w:rPr>
          <w:rFonts w:hint="eastAsia" w:ascii="仿宋" w:hAnsi="仿宋" w:eastAsia="仿宋"/>
          <w:sz w:val="24"/>
          <w:szCs w:val="24"/>
        </w:rPr>
        <w:t>2）单位之间存在控股、管理关系，如母子公司。</w:t>
      </w:r>
    </w:p>
    <w:p w14:paraId="24B66248">
      <w:pPr>
        <w:widowControl/>
        <w:spacing w:line="360" w:lineRule="auto"/>
        <w:rPr>
          <w:rFonts w:hint="eastAsia" w:ascii="仿宋" w:hAnsi="仿宋" w:eastAsia="仿宋"/>
          <w:sz w:val="24"/>
          <w:szCs w:val="24"/>
        </w:rPr>
      </w:pPr>
      <w:r>
        <w:rPr>
          <w:rFonts w:hint="eastAsia" w:ascii="仿宋" w:hAnsi="仿宋" w:eastAsia="仿宋"/>
          <w:sz w:val="24"/>
          <w:szCs w:val="24"/>
        </w:rPr>
        <w:t xml:space="preserve">3）一方直接或间接持有另一方的股份总和达到25%以上，或者双方直接或间接同为第三方所持有的股份达到25%以上。 </w:t>
      </w:r>
    </w:p>
    <w:p w14:paraId="2AAE18B6">
      <w:pPr>
        <w:widowControl/>
        <w:spacing w:line="360" w:lineRule="auto"/>
        <w:rPr>
          <w:rFonts w:hint="eastAsia" w:ascii="仿宋" w:hAnsi="仿宋" w:eastAsia="仿宋"/>
          <w:sz w:val="24"/>
          <w:szCs w:val="24"/>
        </w:rPr>
      </w:pPr>
      <w:r>
        <w:rPr>
          <w:rFonts w:hint="eastAsia" w:ascii="仿宋" w:hAnsi="仿宋" w:eastAsia="仿宋"/>
          <w:sz w:val="24"/>
          <w:szCs w:val="24"/>
        </w:rPr>
        <w:t>如果一方通过中间方对另一方间接持有股份，只要一方对中间方持股比例达到25%以上，则一方对另一方的持股比例按照中间方对另一方的持股比例计算。</w:t>
      </w:r>
    </w:p>
    <w:p w14:paraId="100D949E">
      <w:pPr>
        <w:widowControl/>
        <w:spacing w:line="360" w:lineRule="auto"/>
        <w:rPr>
          <w:rFonts w:hint="eastAsia" w:ascii="仿宋" w:hAnsi="仿宋" w:eastAsia="仿宋"/>
          <w:sz w:val="24"/>
          <w:szCs w:val="24"/>
        </w:rPr>
      </w:pPr>
      <w:r>
        <w:rPr>
          <w:rFonts w:hint="eastAsia" w:ascii="仿宋" w:hAnsi="仿宋" w:eastAsia="仿宋"/>
          <w:sz w:val="24"/>
          <w:szCs w:val="24"/>
        </w:rPr>
        <w:t>4）双方在实质上具有其他共同利益的如下情形：</w:t>
      </w:r>
    </w:p>
    <w:p w14:paraId="73BBE420">
      <w:pPr>
        <w:widowControl/>
        <w:spacing w:line="360" w:lineRule="auto"/>
        <w:rPr>
          <w:rFonts w:hint="eastAsia" w:ascii="仿宋" w:hAnsi="仿宋" w:eastAsia="仿宋"/>
          <w:sz w:val="24"/>
          <w:szCs w:val="24"/>
        </w:rPr>
      </w:pPr>
      <w:r>
        <w:rPr>
          <w:rFonts w:hint="eastAsia" w:ascii="仿宋" w:hAnsi="仿宋" w:eastAsia="仿宋"/>
          <w:sz w:val="24"/>
          <w:szCs w:val="24"/>
        </w:rPr>
        <w:t>a.双方之间有相同自然人股东的；</w:t>
      </w:r>
    </w:p>
    <w:p w14:paraId="6216B6C3">
      <w:pPr>
        <w:widowControl/>
        <w:spacing w:line="360" w:lineRule="auto"/>
        <w:rPr>
          <w:rFonts w:hint="eastAsia" w:ascii="仿宋" w:hAnsi="仿宋" w:eastAsia="仿宋"/>
          <w:sz w:val="24"/>
          <w:szCs w:val="24"/>
        </w:rPr>
      </w:pPr>
      <w:r>
        <w:rPr>
          <w:rFonts w:hint="eastAsia" w:ascii="仿宋" w:hAnsi="仿宋" w:eastAsia="仿宋"/>
          <w:sz w:val="24"/>
          <w:szCs w:val="24"/>
        </w:rPr>
        <w:t>b.双方同时直接持有第三方公司股份的；</w:t>
      </w:r>
    </w:p>
    <w:p w14:paraId="200318D9">
      <w:pPr>
        <w:widowControl/>
        <w:spacing w:line="360" w:lineRule="auto"/>
        <w:rPr>
          <w:rFonts w:hint="eastAsia" w:ascii="仿宋" w:hAnsi="仿宋" w:eastAsia="仿宋"/>
          <w:sz w:val="24"/>
          <w:szCs w:val="24"/>
        </w:rPr>
      </w:pPr>
      <w:r>
        <w:rPr>
          <w:rFonts w:hint="eastAsia" w:ascii="仿宋" w:hAnsi="仿宋" w:eastAsia="仿宋"/>
          <w:sz w:val="24"/>
          <w:szCs w:val="24"/>
        </w:rPr>
        <w:t>c.一方自然人股东在另一方担任董事、监事或高级管理人员的；</w:t>
      </w:r>
    </w:p>
    <w:p w14:paraId="58C984F3">
      <w:pPr>
        <w:widowControl/>
        <w:spacing w:line="360" w:lineRule="auto"/>
        <w:rPr>
          <w:rFonts w:hint="eastAsia" w:ascii="仿宋" w:hAnsi="仿宋" w:eastAsia="仿宋"/>
          <w:sz w:val="24"/>
          <w:szCs w:val="24"/>
        </w:rPr>
      </w:pPr>
      <w:r>
        <w:rPr>
          <w:rFonts w:hint="eastAsia" w:ascii="仿宋" w:hAnsi="仿宋" w:eastAsia="仿宋"/>
          <w:sz w:val="24"/>
          <w:szCs w:val="24"/>
        </w:rPr>
        <w:t>d.双方之间有相同董事、监事或高级管理人员的。</w:t>
      </w:r>
    </w:p>
    <w:p w14:paraId="7176AC76">
      <w:pPr>
        <w:widowControl/>
        <w:spacing w:line="360" w:lineRule="auto"/>
        <w:rPr>
          <w:rFonts w:hint="eastAsia" w:ascii="仿宋" w:hAnsi="仿宋" w:eastAsia="仿宋"/>
          <w:sz w:val="24"/>
          <w:szCs w:val="24"/>
          <w:lang w:val="en-US" w:eastAsia="zh-CN"/>
        </w:rPr>
      </w:pPr>
      <w:r>
        <w:rPr>
          <w:rFonts w:hint="eastAsia" w:ascii="仿宋" w:hAnsi="仿宋" w:eastAsia="仿宋"/>
          <w:sz w:val="24"/>
          <w:szCs w:val="24"/>
        </w:rPr>
        <w:t>以上关系查询，以公共一般可查询方式等网站（如：天眼查、启信宝等）核查工商系统注册登记信息为准。</w:t>
      </w:r>
    </w:p>
    <w:p w14:paraId="45EBE7AD">
      <w:pPr>
        <w:widowControl/>
        <w:spacing w:line="360" w:lineRule="auto"/>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响应单位</w:t>
      </w:r>
      <w:r>
        <w:rPr>
          <w:rFonts w:ascii="仿宋" w:hAnsi="仿宋" w:eastAsia="仿宋"/>
          <w:sz w:val="24"/>
          <w:szCs w:val="24"/>
        </w:rPr>
        <w:t>报价有算术错误及其他错误的，评审小组按以下原则要求</w:t>
      </w:r>
      <w:r>
        <w:rPr>
          <w:rFonts w:hint="eastAsia" w:ascii="仿宋" w:hAnsi="仿宋" w:eastAsia="仿宋"/>
          <w:sz w:val="24"/>
          <w:szCs w:val="24"/>
        </w:rPr>
        <w:t>响应单位</w:t>
      </w:r>
      <w:r>
        <w:rPr>
          <w:rFonts w:ascii="仿宋" w:hAnsi="仿宋" w:eastAsia="仿宋"/>
          <w:sz w:val="24"/>
          <w:szCs w:val="24"/>
        </w:rPr>
        <w:t>对报价进行修正，并要求</w:t>
      </w:r>
      <w:r>
        <w:rPr>
          <w:rFonts w:hint="eastAsia" w:ascii="仿宋" w:hAnsi="仿宋" w:eastAsia="仿宋"/>
          <w:sz w:val="24"/>
          <w:szCs w:val="24"/>
        </w:rPr>
        <w:t>响应单位</w:t>
      </w:r>
      <w:r>
        <w:rPr>
          <w:rFonts w:ascii="仿宋" w:hAnsi="仿宋" w:eastAsia="仿宋"/>
          <w:sz w:val="24"/>
          <w:szCs w:val="24"/>
        </w:rPr>
        <w:t>进行澄清确认。</w:t>
      </w:r>
      <w:r>
        <w:rPr>
          <w:rFonts w:hint="eastAsia" w:ascii="仿宋" w:hAnsi="仿宋" w:eastAsia="仿宋"/>
          <w:sz w:val="24"/>
          <w:szCs w:val="24"/>
        </w:rPr>
        <w:t>响应单位</w:t>
      </w:r>
      <w:r>
        <w:rPr>
          <w:rFonts w:ascii="仿宋" w:hAnsi="仿宋" w:eastAsia="仿宋"/>
          <w:sz w:val="24"/>
          <w:szCs w:val="24"/>
        </w:rPr>
        <w:t xml:space="preserve">未在规定时间内澄清确认或不同意修正的，评审小组应当否决其响应文件： </w:t>
      </w:r>
    </w:p>
    <w:p w14:paraId="1B452410">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1）总价金额与单价金额不一致的，以单价金额为准，但单价金额小数点有明显错误的除外；</w:t>
      </w:r>
    </w:p>
    <w:p w14:paraId="33BBE274">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）单价金额小数点有明显错位的，应以总价为准，并修改单价；</w:t>
      </w:r>
    </w:p>
    <w:p w14:paraId="6DEDED64">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3）总价为各分项报价金额之和，总报价与分项报价的合价不一致的，应以各分项合价累计数为准，修正总报价；</w:t>
      </w:r>
    </w:p>
    <w:p w14:paraId="54236E17">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4）如果分项报价中存在缺漏项，则视为缺漏项价格已包含在其他分项报价之中。</w:t>
      </w:r>
    </w:p>
    <w:p w14:paraId="7EFF43C7">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）大写金额和小写金额不一致的，以大写金额为准；</w:t>
      </w:r>
    </w:p>
    <w:p w14:paraId="2930FB2F">
      <w:pPr>
        <w:widowControl/>
        <w:spacing w:line="360" w:lineRule="auto"/>
        <w:rPr>
          <w:rFonts w:ascii="仿宋" w:hAnsi="仿宋" w:eastAsia="仿宋"/>
          <w:sz w:val="24"/>
          <w:szCs w:val="24"/>
        </w:rPr>
      </w:pPr>
      <w:r>
        <w:rPr>
          <w:rFonts w:hint="eastAsia" w:ascii="仿宋" w:hAnsi="仿宋" w:eastAsia="仿宋"/>
          <w:sz w:val="24"/>
          <w:szCs w:val="24"/>
        </w:rPr>
        <w:t>（6）守正平台上填写的报价与上传的响应文件中的报价不一致的，以响应文件中的盖章版报价为准；</w:t>
      </w:r>
    </w:p>
    <w:p w14:paraId="50A24BB5">
      <w:pPr>
        <w:widowControl/>
        <w:spacing w:line="360" w:lineRule="auto"/>
        <w:rPr>
          <w:rFonts w:ascii="仿宋" w:hAnsi="仿宋" w:eastAsia="仿宋"/>
          <w:sz w:val="24"/>
          <w:szCs w:val="24"/>
        </w:rPr>
      </w:pPr>
      <w:r>
        <w:rPr>
          <w:rFonts w:hint="eastAsia" w:ascii="仿宋" w:hAnsi="仿宋" w:eastAsia="仿宋"/>
          <w:sz w:val="24"/>
          <w:szCs w:val="24"/>
        </w:rPr>
        <w:t>（7）对不同文字文本响应文件的解释发生异议的，以中文文本为准。</w:t>
      </w:r>
    </w:p>
    <w:p w14:paraId="5B9E9010">
      <w:pPr>
        <w:widowControl/>
        <w:spacing w:line="360" w:lineRule="auto"/>
        <w:rPr>
          <w:rFonts w:ascii="仿宋" w:hAnsi="仿宋" w:eastAsia="仿宋"/>
          <w:sz w:val="24"/>
          <w:szCs w:val="24"/>
        </w:rPr>
      </w:pPr>
      <w:r>
        <w:rPr>
          <w:rFonts w:ascii="仿宋" w:hAnsi="仿宋" w:eastAsia="仿宋"/>
          <w:sz w:val="24"/>
          <w:szCs w:val="24"/>
        </w:rPr>
        <w:t>1.4 竞争性判断</w:t>
      </w:r>
    </w:p>
    <w:p w14:paraId="0B3D3A3F">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1）经资格审查后，若出现通过资格审查的有效</w:t>
      </w:r>
      <w:r>
        <w:rPr>
          <w:rFonts w:hint="eastAsia" w:ascii="仿宋" w:hAnsi="仿宋" w:eastAsia="仿宋"/>
          <w:sz w:val="24"/>
          <w:szCs w:val="24"/>
        </w:rPr>
        <w:t>响应单位</w:t>
      </w:r>
      <w:r>
        <w:rPr>
          <w:rFonts w:ascii="仿宋" w:hAnsi="仿宋" w:eastAsia="仿宋"/>
          <w:sz w:val="24"/>
          <w:szCs w:val="24"/>
        </w:rPr>
        <w:t>为一家，且该</w:t>
      </w:r>
      <w:r>
        <w:rPr>
          <w:rFonts w:hint="eastAsia" w:ascii="仿宋" w:hAnsi="仿宋" w:eastAsia="仿宋"/>
          <w:sz w:val="24"/>
          <w:szCs w:val="24"/>
        </w:rPr>
        <w:t>响应单位</w:t>
      </w:r>
      <w:r>
        <w:rPr>
          <w:rFonts w:ascii="仿宋" w:hAnsi="仿宋" w:eastAsia="仿宋"/>
          <w:sz w:val="24"/>
          <w:szCs w:val="24"/>
        </w:rPr>
        <w:t>报价高于所有</w:t>
      </w:r>
      <w:r>
        <w:rPr>
          <w:rFonts w:hint="eastAsia" w:ascii="仿宋" w:hAnsi="仿宋" w:eastAsia="仿宋"/>
          <w:sz w:val="24"/>
          <w:szCs w:val="24"/>
        </w:rPr>
        <w:t>响应单位</w:t>
      </w:r>
      <w:r>
        <w:rPr>
          <w:rFonts w:ascii="仿宋" w:hAnsi="仿宋" w:eastAsia="仿宋"/>
          <w:sz w:val="24"/>
          <w:szCs w:val="24"/>
        </w:rPr>
        <w:t>报价（低于成本报价的除外）的平均值的，评审小组应认定为不具有竞争性，不应再继续推荐成交</w:t>
      </w:r>
      <w:r>
        <w:rPr>
          <w:rFonts w:hint="eastAsia" w:ascii="仿宋" w:hAnsi="仿宋" w:eastAsia="仿宋"/>
          <w:sz w:val="24"/>
          <w:szCs w:val="24"/>
        </w:rPr>
        <w:t>候选人</w:t>
      </w:r>
      <w:r>
        <w:rPr>
          <w:rFonts w:ascii="仿宋" w:hAnsi="仿宋" w:eastAsia="仿宋"/>
          <w:sz w:val="24"/>
          <w:szCs w:val="24"/>
        </w:rPr>
        <w:t>，本次</w:t>
      </w:r>
      <w:r>
        <w:rPr>
          <w:rFonts w:hint="eastAsia" w:ascii="仿宋" w:hAnsi="仿宋" w:eastAsia="仿宋"/>
          <w:sz w:val="24"/>
          <w:szCs w:val="24"/>
        </w:rPr>
        <w:t>采购</w:t>
      </w:r>
      <w:r>
        <w:rPr>
          <w:rFonts w:ascii="仿宋" w:hAnsi="仿宋" w:eastAsia="仿宋"/>
          <w:sz w:val="24"/>
          <w:szCs w:val="24"/>
        </w:rPr>
        <w:t>作流标处理；若该</w:t>
      </w:r>
      <w:r>
        <w:rPr>
          <w:rFonts w:hint="eastAsia" w:ascii="仿宋" w:hAnsi="仿宋" w:eastAsia="仿宋"/>
          <w:sz w:val="24"/>
          <w:szCs w:val="24"/>
        </w:rPr>
        <w:t>响应单位</w:t>
      </w:r>
      <w:r>
        <w:rPr>
          <w:rFonts w:ascii="仿宋" w:hAnsi="仿宋" w:eastAsia="仿宋"/>
          <w:sz w:val="24"/>
          <w:szCs w:val="24"/>
        </w:rPr>
        <w:t>报价虽低于所有</w:t>
      </w:r>
      <w:r>
        <w:rPr>
          <w:rFonts w:hint="eastAsia" w:ascii="仿宋" w:hAnsi="仿宋" w:eastAsia="仿宋"/>
          <w:sz w:val="24"/>
          <w:szCs w:val="24"/>
        </w:rPr>
        <w:t>响应单位</w:t>
      </w:r>
      <w:r>
        <w:rPr>
          <w:rFonts w:ascii="仿宋" w:hAnsi="仿宋" w:eastAsia="仿宋"/>
          <w:sz w:val="24"/>
          <w:szCs w:val="24"/>
        </w:rPr>
        <w:t>报价（低于成本报价的除外）的平均值，评审小组也应对其报价是否具有竞争性进行综合判定并表决，若半数以上评委认为报价具有竞争性，可继续评审，若半数以上评委认为报价不具有竞争性，则不应再继续推荐成交</w:t>
      </w:r>
      <w:r>
        <w:rPr>
          <w:rFonts w:hint="eastAsia" w:ascii="仿宋" w:hAnsi="仿宋" w:eastAsia="仿宋"/>
          <w:sz w:val="24"/>
          <w:szCs w:val="24"/>
        </w:rPr>
        <w:t>候选人</w:t>
      </w:r>
      <w:r>
        <w:rPr>
          <w:rFonts w:ascii="仿宋" w:hAnsi="仿宋" w:eastAsia="仿宋"/>
          <w:sz w:val="24"/>
          <w:szCs w:val="24"/>
        </w:rPr>
        <w:t>，本次</w:t>
      </w:r>
      <w:r>
        <w:rPr>
          <w:rFonts w:hint="eastAsia" w:ascii="仿宋" w:hAnsi="仿宋" w:eastAsia="仿宋"/>
          <w:sz w:val="24"/>
          <w:szCs w:val="24"/>
        </w:rPr>
        <w:t>采购</w:t>
      </w:r>
      <w:r>
        <w:rPr>
          <w:rFonts w:ascii="仿宋" w:hAnsi="仿宋" w:eastAsia="仿宋"/>
          <w:sz w:val="24"/>
          <w:szCs w:val="24"/>
        </w:rPr>
        <w:t>作流标处理。</w:t>
      </w:r>
    </w:p>
    <w:p w14:paraId="2B9B7C52">
      <w:pPr>
        <w:widowControl/>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2）经资格审查后，若出现通过资格审查的有效</w:t>
      </w:r>
      <w:r>
        <w:rPr>
          <w:rFonts w:hint="eastAsia" w:ascii="仿宋" w:hAnsi="仿宋" w:eastAsia="仿宋"/>
          <w:sz w:val="24"/>
          <w:szCs w:val="24"/>
        </w:rPr>
        <w:t>响应单位</w:t>
      </w:r>
      <w:r>
        <w:rPr>
          <w:rFonts w:ascii="仿宋" w:hAnsi="仿宋" w:eastAsia="仿宋"/>
          <w:sz w:val="24"/>
          <w:szCs w:val="24"/>
        </w:rPr>
        <w:t>为两家，若有一家高于所有</w:t>
      </w:r>
      <w:r>
        <w:rPr>
          <w:rFonts w:hint="eastAsia" w:ascii="仿宋" w:hAnsi="仿宋" w:eastAsia="仿宋"/>
          <w:sz w:val="24"/>
          <w:szCs w:val="24"/>
        </w:rPr>
        <w:t>响应单位</w:t>
      </w:r>
      <w:r>
        <w:rPr>
          <w:rFonts w:ascii="仿宋" w:hAnsi="仿宋" w:eastAsia="仿宋"/>
          <w:sz w:val="24"/>
          <w:szCs w:val="24"/>
        </w:rPr>
        <w:t>报价（低于成本报价的除外）的平均值的，评审小组应认定该</w:t>
      </w:r>
      <w:r>
        <w:rPr>
          <w:rFonts w:hint="eastAsia" w:ascii="仿宋" w:hAnsi="仿宋" w:eastAsia="仿宋"/>
          <w:sz w:val="24"/>
          <w:szCs w:val="24"/>
        </w:rPr>
        <w:t>响应单位</w:t>
      </w:r>
      <w:r>
        <w:rPr>
          <w:rFonts w:ascii="仿宋" w:hAnsi="仿宋" w:eastAsia="仿宋"/>
          <w:sz w:val="24"/>
          <w:szCs w:val="24"/>
        </w:rPr>
        <w:t>不具有竞争性，该</w:t>
      </w:r>
      <w:r>
        <w:rPr>
          <w:rFonts w:hint="eastAsia" w:ascii="仿宋" w:hAnsi="仿宋" w:eastAsia="仿宋"/>
          <w:sz w:val="24"/>
          <w:szCs w:val="24"/>
        </w:rPr>
        <w:t>响应单位</w:t>
      </w:r>
      <w:r>
        <w:rPr>
          <w:rFonts w:ascii="仿宋" w:hAnsi="仿宋" w:eastAsia="仿宋"/>
          <w:sz w:val="24"/>
          <w:szCs w:val="24"/>
        </w:rPr>
        <w:t>不再进入详细评审，剩余的一家是否具有竞争性应由评审小组综合判定并表决，若半数以上评委认为报价具有竞争性，可继续评审，若半数以上评委认为报价不具有竞争性，则不应再继续推荐成交</w:t>
      </w:r>
      <w:r>
        <w:rPr>
          <w:rFonts w:hint="eastAsia" w:ascii="仿宋" w:hAnsi="仿宋" w:eastAsia="仿宋"/>
          <w:sz w:val="24"/>
          <w:szCs w:val="24"/>
        </w:rPr>
        <w:t>候选人</w:t>
      </w:r>
      <w:r>
        <w:rPr>
          <w:rFonts w:ascii="仿宋" w:hAnsi="仿宋" w:eastAsia="仿宋"/>
          <w:sz w:val="24"/>
          <w:szCs w:val="24"/>
        </w:rPr>
        <w:t>，本次</w:t>
      </w:r>
      <w:r>
        <w:rPr>
          <w:rFonts w:hint="eastAsia" w:ascii="仿宋" w:hAnsi="仿宋" w:eastAsia="仿宋"/>
          <w:sz w:val="24"/>
          <w:szCs w:val="24"/>
        </w:rPr>
        <w:t>采购</w:t>
      </w:r>
      <w:r>
        <w:rPr>
          <w:rFonts w:ascii="仿宋" w:hAnsi="仿宋" w:eastAsia="仿宋"/>
          <w:sz w:val="24"/>
          <w:szCs w:val="24"/>
        </w:rPr>
        <w:t>作流标处理；若剩余两家均高于所有</w:t>
      </w:r>
      <w:r>
        <w:rPr>
          <w:rFonts w:hint="eastAsia" w:ascii="仿宋" w:hAnsi="仿宋" w:eastAsia="仿宋"/>
          <w:sz w:val="24"/>
          <w:szCs w:val="24"/>
        </w:rPr>
        <w:t>响应单位</w:t>
      </w:r>
      <w:r>
        <w:rPr>
          <w:rFonts w:ascii="仿宋" w:hAnsi="仿宋" w:eastAsia="仿宋"/>
          <w:sz w:val="24"/>
          <w:szCs w:val="24"/>
        </w:rPr>
        <w:t>报价（低于成本报价的除外）的平均值的，评审小组应认定为不具有竞争性，不应再继续推荐成交</w:t>
      </w:r>
      <w:r>
        <w:rPr>
          <w:rFonts w:hint="eastAsia" w:ascii="仿宋" w:hAnsi="仿宋" w:eastAsia="仿宋"/>
          <w:sz w:val="24"/>
          <w:szCs w:val="24"/>
        </w:rPr>
        <w:t>候选人</w:t>
      </w:r>
      <w:r>
        <w:rPr>
          <w:rFonts w:ascii="仿宋" w:hAnsi="仿宋" w:eastAsia="仿宋"/>
          <w:sz w:val="24"/>
          <w:szCs w:val="24"/>
        </w:rPr>
        <w:t>，本次</w:t>
      </w:r>
      <w:r>
        <w:rPr>
          <w:rFonts w:hint="eastAsia" w:ascii="仿宋" w:hAnsi="仿宋" w:eastAsia="仿宋"/>
          <w:sz w:val="24"/>
          <w:szCs w:val="24"/>
        </w:rPr>
        <w:t>采购</w:t>
      </w:r>
      <w:r>
        <w:rPr>
          <w:rFonts w:ascii="仿宋" w:hAnsi="仿宋" w:eastAsia="仿宋"/>
          <w:sz w:val="24"/>
          <w:szCs w:val="24"/>
        </w:rPr>
        <w:t>作流标处理。</w:t>
      </w:r>
    </w:p>
    <w:p w14:paraId="14A366F7">
      <w:pPr>
        <w:spacing w:line="480" w:lineRule="auto"/>
        <w:rPr>
          <w:rFonts w:ascii="仿宋" w:hAnsi="仿宋" w:eastAsia="仿宋"/>
          <w:b/>
          <w:bCs/>
          <w:i/>
          <w:iCs/>
          <w:color w:val="FF0000"/>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详细评审</w:t>
      </w:r>
    </w:p>
    <w:p w14:paraId="7D627FDA">
      <w:pPr>
        <w:widowControl/>
        <w:spacing w:line="360" w:lineRule="auto"/>
        <w:jc w:val="left"/>
        <w:rPr>
          <w:rFonts w:hint="eastAsia"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评审细则</w:t>
      </w:r>
    </w:p>
    <w:p w14:paraId="398C8880">
      <w:pPr>
        <w:widowControl/>
        <w:spacing w:line="36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最低价中标</w:t>
      </w:r>
    </w:p>
    <w:p w14:paraId="5B1BD6E1">
      <w:pPr>
        <w:widowControl/>
        <w:spacing w:line="360" w:lineRule="auto"/>
        <w:rPr>
          <w:rFonts w:ascii="仿宋" w:hAnsi="仿宋" w:eastAsia="仿宋"/>
          <w:sz w:val="24"/>
          <w:szCs w:val="24"/>
        </w:rPr>
      </w:pPr>
      <w:r>
        <w:rPr>
          <w:rFonts w:ascii="仿宋" w:hAnsi="仿宋" w:eastAsia="仿宋"/>
          <w:sz w:val="24"/>
          <w:szCs w:val="24"/>
        </w:rPr>
        <w:t>2.2评审得分</w:t>
      </w:r>
    </w:p>
    <w:p w14:paraId="67D6F813">
      <w:pPr>
        <w:widowControl/>
        <w:spacing w:line="360" w:lineRule="auto"/>
        <w:jc w:val="left"/>
        <w:rPr>
          <w:rFonts w:ascii="仿宋" w:hAnsi="仿宋" w:eastAsia="仿宋"/>
          <w:sz w:val="24"/>
          <w:szCs w:val="24"/>
        </w:rPr>
      </w:pPr>
      <w:r>
        <w:rPr>
          <w:rFonts w:hint="eastAsia" w:ascii="仿宋" w:hAnsi="仿宋" w:eastAsia="仿宋"/>
          <w:sz w:val="24"/>
          <w:szCs w:val="24"/>
          <w:lang w:val="en-US" w:eastAsia="zh-CN"/>
        </w:rPr>
        <w:t>最低价中标</w:t>
      </w:r>
    </w:p>
    <w:p w14:paraId="32A8F726">
      <w:pPr>
        <w:widowControl/>
        <w:spacing w:line="360" w:lineRule="auto"/>
        <w:rPr>
          <w:rFonts w:ascii="仿宋" w:hAnsi="仿宋" w:eastAsia="仿宋"/>
          <w:sz w:val="24"/>
          <w:szCs w:val="24"/>
        </w:rPr>
      </w:pPr>
      <w:r>
        <w:rPr>
          <w:rFonts w:ascii="仿宋" w:hAnsi="仿宋" w:eastAsia="仿宋"/>
          <w:sz w:val="24"/>
          <w:szCs w:val="24"/>
        </w:rPr>
        <w:t>2.3响应文件的澄清和补正</w:t>
      </w:r>
    </w:p>
    <w:p w14:paraId="6333C0F2">
      <w:pPr>
        <w:widowControl/>
        <w:spacing w:line="360" w:lineRule="auto"/>
        <w:rPr>
          <w:rFonts w:ascii="仿宋" w:hAnsi="仿宋" w:eastAsia="仿宋"/>
          <w:sz w:val="24"/>
          <w:szCs w:val="24"/>
        </w:rPr>
      </w:pPr>
      <w:r>
        <w:rPr>
          <w:rFonts w:ascii="仿宋" w:hAnsi="仿宋" w:eastAsia="仿宋"/>
          <w:sz w:val="24"/>
          <w:szCs w:val="24"/>
        </w:rPr>
        <w:t>2.3.1在评审过程中，评审小组可以通过守正平台要求</w:t>
      </w:r>
      <w:r>
        <w:rPr>
          <w:rFonts w:hint="eastAsia" w:ascii="仿宋" w:hAnsi="仿宋" w:eastAsia="仿宋"/>
          <w:sz w:val="24"/>
          <w:szCs w:val="24"/>
        </w:rPr>
        <w:t>响应单位</w:t>
      </w:r>
      <w:r>
        <w:rPr>
          <w:rFonts w:ascii="仿宋" w:hAnsi="仿宋" w:eastAsia="仿宋"/>
          <w:sz w:val="24"/>
          <w:szCs w:val="24"/>
        </w:rPr>
        <w:t>对提交的响应文件中不明确的内容进行澄清或说明，或者对细微偏离进行补正。评审小组不接受</w:t>
      </w:r>
      <w:r>
        <w:rPr>
          <w:rFonts w:hint="eastAsia" w:ascii="仿宋" w:hAnsi="仿宋" w:eastAsia="仿宋"/>
          <w:sz w:val="24"/>
          <w:szCs w:val="24"/>
        </w:rPr>
        <w:t>响应单位</w:t>
      </w:r>
      <w:r>
        <w:rPr>
          <w:rFonts w:ascii="仿宋" w:hAnsi="仿宋" w:eastAsia="仿宋"/>
          <w:sz w:val="24"/>
          <w:szCs w:val="24"/>
        </w:rPr>
        <w:t>主动提出的澄清、说明或补正。</w:t>
      </w:r>
    </w:p>
    <w:p w14:paraId="5EE4B667">
      <w:pPr>
        <w:widowControl/>
        <w:spacing w:line="360" w:lineRule="auto"/>
        <w:rPr>
          <w:rFonts w:ascii="仿宋" w:hAnsi="仿宋" w:eastAsia="仿宋"/>
          <w:sz w:val="24"/>
          <w:szCs w:val="24"/>
        </w:rPr>
      </w:pPr>
      <w:r>
        <w:rPr>
          <w:rFonts w:ascii="仿宋" w:hAnsi="仿宋" w:eastAsia="仿宋"/>
          <w:sz w:val="24"/>
          <w:szCs w:val="24"/>
        </w:rPr>
        <w:t>2.3.2澄清、说明或补正不得改变响应文件的实质性内容（算术性错误修正的除外）。</w:t>
      </w:r>
      <w:r>
        <w:rPr>
          <w:rFonts w:hint="eastAsia" w:ascii="仿宋" w:hAnsi="仿宋" w:eastAsia="仿宋"/>
          <w:sz w:val="24"/>
          <w:szCs w:val="24"/>
        </w:rPr>
        <w:t>响应单位</w:t>
      </w:r>
      <w:r>
        <w:rPr>
          <w:rFonts w:ascii="仿宋" w:hAnsi="仿宋" w:eastAsia="仿宋"/>
          <w:sz w:val="24"/>
          <w:szCs w:val="24"/>
        </w:rPr>
        <w:t>的澄清、说明和补正属于响应文件的组成部分。</w:t>
      </w:r>
    </w:p>
    <w:p w14:paraId="79CF2697">
      <w:pPr>
        <w:widowControl/>
        <w:spacing w:line="360" w:lineRule="auto"/>
        <w:rPr>
          <w:rFonts w:ascii="仿宋" w:hAnsi="仿宋" w:eastAsia="仿宋"/>
          <w:sz w:val="24"/>
          <w:szCs w:val="24"/>
        </w:rPr>
      </w:pPr>
      <w:r>
        <w:rPr>
          <w:rFonts w:ascii="仿宋" w:hAnsi="仿宋" w:eastAsia="仿宋"/>
          <w:sz w:val="24"/>
          <w:szCs w:val="24"/>
        </w:rPr>
        <w:t>2.3.3评审小组对</w:t>
      </w:r>
      <w:r>
        <w:rPr>
          <w:rFonts w:hint="eastAsia" w:ascii="仿宋" w:hAnsi="仿宋" w:eastAsia="仿宋"/>
          <w:sz w:val="24"/>
          <w:szCs w:val="24"/>
        </w:rPr>
        <w:t>响应单位</w:t>
      </w:r>
      <w:r>
        <w:rPr>
          <w:rFonts w:ascii="仿宋" w:hAnsi="仿宋" w:eastAsia="仿宋"/>
          <w:sz w:val="24"/>
          <w:szCs w:val="24"/>
        </w:rPr>
        <w:t>提交的澄清、说明或补正有疑问的，可以要求</w:t>
      </w:r>
      <w:r>
        <w:rPr>
          <w:rFonts w:hint="eastAsia" w:ascii="仿宋" w:hAnsi="仿宋" w:eastAsia="仿宋"/>
          <w:sz w:val="24"/>
          <w:szCs w:val="24"/>
        </w:rPr>
        <w:t>响应单位</w:t>
      </w:r>
      <w:r>
        <w:rPr>
          <w:rFonts w:ascii="仿宋" w:hAnsi="仿宋" w:eastAsia="仿宋"/>
          <w:sz w:val="24"/>
          <w:szCs w:val="24"/>
        </w:rPr>
        <w:t>进一步澄清、说明或补正，直至满足评审小组的要求。</w:t>
      </w:r>
    </w:p>
    <w:p w14:paraId="2317053D">
      <w:pPr>
        <w:widowControl/>
        <w:spacing w:line="360" w:lineRule="auto"/>
        <w:rPr>
          <w:rFonts w:ascii="仿宋" w:hAnsi="仿宋" w:eastAsia="仿宋"/>
          <w:sz w:val="24"/>
          <w:szCs w:val="24"/>
        </w:rPr>
      </w:pPr>
      <w:r>
        <w:rPr>
          <w:rFonts w:ascii="仿宋" w:hAnsi="仿宋" w:eastAsia="仿宋"/>
          <w:sz w:val="24"/>
          <w:szCs w:val="24"/>
        </w:rPr>
        <w:t>2.4推荐成交候选人</w:t>
      </w:r>
    </w:p>
    <w:p w14:paraId="2E4E537D">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评审小组按评审得分由高到低的顺序推荐成交候选人</w:t>
      </w:r>
      <w:r>
        <w:rPr>
          <w:rFonts w:hint="eastAsia" w:ascii="仿宋" w:hAnsi="仿宋" w:eastAsia="仿宋"/>
          <w:b/>
          <w:bCs/>
          <w:sz w:val="24"/>
          <w:szCs w:val="24"/>
        </w:rPr>
        <w:t>（不超过3家）</w:t>
      </w:r>
      <w:r>
        <w:rPr>
          <w:rFonts w:hint="eastAsia" w:ascii="仿宋" w:hAnsi="仿宋" w:eastAsia="仿宋"/>
          <w:sz w:val="24"/>
          <w:szCs w:val="24"/>
        </w:rPr>
        <w:t>，评审得分相同的，报价低的优先，报价也相等的，评审小组应对工期</w:t>
      </w:r>
      <w:r>
        <w:rPr>
          <w:rFonts w:ascii="仿宋" w:hAnsi="仿宋" w:eastAsia="仿宋"/>
          <w:sz w:val="24"/>
          <w:szCs w:val="24"/>
        </w:rPr>
        <w:t>/交货期/服务期的优劣进行排序并推荐成交人，评审</w:t>
      </w:r>
      <w:r>
        <w:rPr>
          <w:rFonts w:hint="eastAsia" w:ascii="仿宋" w:hAnsi="仿宋" w:eastAsia="仿宋"/>
          <w:sz w:val="24"/>
          <w:szCs w:val="24"/>
        </w:rPr>
        <w:t>得分、报价均</w:t>
      </w:r>
      <w:r>
        <w:rPr>
          <w:rFonts w:ascii="仿宋" w:hAnsi="仿宋" w:eastAsia="仿宋"/>
          <w:sz w:val="24"/>
          <w:szCs w:val="24"/>
        </w:rPr>
        <w:t>相等且工期/交货期/服务期也相等或无法判断的，评审小组应对质保期的优劣进行排序并推荐成交人，以上均相同或无法判断的，在监督人员见证下，由评审组长随机抽取确定。</w:t>
      </w:r>
    </w:p>
    <w:p w14:paraId="53AE9952">
      <w:pPr>
        <w:widowControl/>
        <w:spacing w:line="360" w:lineRule="auto"/>
        <w:rPr>
          <w:rFonts w:ascii="仿宋" w:hAnsi="仿宋" w:eastAsia="仿宋"/>
          <w:sz w:val="24"/>
          <w:szCs w:val="24"/>
        </w:rPr>
      </w:pPr>
      <w:r>
        <w:rPr>
          <w:rFonts w:ascii="仿宋" w:hAnsi="仿宋" w:eastAsia="仿宋"/>
          <w:sz w:val="24"/>
          <w:szCs w:val="24"/>
        </w:rPr>
        <w:t>2.5评审结果</w:t>
      </w:r>
    </w:p>
    <w:p w14:paraId="286FF648">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评审小组完成评审后，评审小组组长应根据守正平台评审报告模板生成评审报告初稿，并根据项目实际情况对评审报告进行修改完善形成最终的评审报告，经评审小组所有成员确认无误后提交。</w:t>
      </w:r>
    </w:p>
    <w:p w14:paraId="0779A86A">
      <w:pPr>
        <w:widowControl/>
        <w:jc w:val="left"/>
        <w:rPr>
          <w:rFonts w:ascii="仿宋" w:hAnsi="仿宋" w:eastAsia="仿宋"/>
          <w:b/>
          <w:bCs/>
          <w:sz w:val="32"/>
          <w:szCs w:val="32"/>
        </w:rPr>
      </w:pPr>
      <w:r>
        <w:rPr>
          <w:rFonts w:ascii="仿宋" w:hAnsi="仿宋" w:eastAsia="仿宋"/>
          <w:b/>
          <w:bCs/>
          <w:sz w:val="32"/>
          <w:szCs w:val="32"/>
        </w:rPr>
        <w:br w:type="page"/>
      </w:r>
    </w:p>
    <w:p w14:paraId="3700A363">
      <w:pPr>
        <w:spacing w:after="312" w:afterLines="100"/>
        <w:jc w:val="center"/>
        <w:outlineLvl w:val="0"/>
        <w:rPr>
          <w:rFonts w:ascii="仿宋" w:hAnsi="仿宋" w:eastAsia="仿宋"/>
          <w:b/>
          <w:bCs/>
          <w:sz w:val="32"/>
          <w:szCs w:val="32"/>
        </w:rPr>
      </w:pPr>
      <w:r>
        <w:rPr>
          <w:rFonts w:hint="eastAsia" w:ascii="仿宋" w:hAnsi="仿宋" w:eastAsia="仿宋"/>
          <w:b/>
          <w:bCs/>
          <w:sz w:val="32"/>
          <w:szCs w:val="32"/>
        </w:rPr>
        <w:t>第三卷 拟签订合同条款及内容</w:t>
      </w:r>
    </w:p>
    <w:p w14:paraId="5B8F269F">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合同主要条款：</w:t>
      </w:r>
    </w:p>
    <w:p w14:paraId="7BBBAFD4">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付款时间及方式</w:t>
      </w:r>
    </w:p>
    <w:p w14:paraId="65092C10">
      <w:pPr>
        <w:widowControl/>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乙方根据甲方要求15天内出具相应的成果报告</w:t>
      </w:r>
      <w:r>
        <w:rPr>
          <w:rFonts w:hint="eastAsia" w:ascii="仿宋" w:hAnsi="仿宋" w:eastAsia="仿宋"/>
          <w:color w:val="auto"/>
          <w:sz w:val="24"/>
          <w:szCs w:val="24"/>
        </w:rPr>
        <w:t>，乙方向甲方提供增值税发票；甲方在收到乙方开具的全额增值税专用发票（</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%税率）后</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个月内，支付</w:t>
      </w:r>
      <w:r>
        <w:rPr>
          <w:rFonts w:hint="eastAsia" w:ascii="仿宋" w:hAnsi="仿宋" w:eastAsia="仿宋"/>
          <w:color w:val="auto"/>
          <w:sz w:val="24"/>
          <w:szCs w:val="24"/>
          <w:lang w:val="en-US" w:eastAsia="zh-CN"/>
        </w:rPr>
        <w:t>100%合同款</w:t>
      </w:r>
      <w:r>
        <w:rPr>
          <w:rFonts w:hint="eastAsia" w:ascii="仿宋" w:hAnsi="仿宋" w:eastAsia="仿宋"/>
          <w:color w:val="auto"/>
          <w:sz w:val="24"/>
          <w:szCs w:val="24"/>
        </w:rPr>
        <w:t>。</w:t>
      </w:r>
    </w:p>
    <w:p w14:paraId="7207B8CA">
      <w:pPr>
        <w:widowControl/>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在双方购销业务合作关系终止后，如甲方未对乙方提出产品质量异议，则甲方应在质量保证金扣除之日一年期满后三个月内一次性足额将产品质量保证金返还给乙方。</w:t>
      </w:r>
    </w:p>
    <w:p w14:paraId="7D1BE6B1">
      <w:pPr>
        <w:widowControl/>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经甲方初步验收不合格的，甲方有权拒收，不合格产品金额占已到产品总价10％（含）以上的，甲方有权解除合同。</w:t>
      </w:r>
    </w:p>
    <w:p w14:paraId="4939ECC5">
      <w:pPr>
        <w:widowControl/>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2、付款方式：甲方通过银行转账方式向乙方支付货款。</w:t>
      </w:r>
    </w:p>
    <w:p w14:paraId="7DEC8AEE">
      <w:pPr>
        <w:widowControl/>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3、第一次付款前，乙方须向甲方提供该批次产品的全额增值税专用发票（适用3%税率）。</w:t>
      </w:r>
    </w:p>
    <w:p w14:paraId="00931E81">
      <w:pPr>
        <w:rPr>
          <w:rFonts w:ascii="仿宋" w:hAnsi="仿宋" w:eastAsia="仿宋"/>
          <w:sz w:val="24"/>
          <w:szCs w:val="24"/>
        </w:rPr>
      </w:pPr>
      <w:r>
        <w:rPr>
          <w:rFonts w:hint="eastAsia" w:ascii="仿宋" w:hAnsi="仿宋" w:eastAsia="仿宋"/>
          <w:sz w:val="24"/>
          <w:szCs w:val="24"/>
        </w:rPr>
        <w:t>附件1：</w:t>
      </w:r>
    </w:p>
    <w:p w14:paraId="0A54F96A">
      <w:pPr>
        <w:widowControl/>
        <w:spacing w:line="360" w:lineRule="auto"/>
        <w:ind w:firstLine="3360" w:firstLineChars="1200"/>
        <w:rPr>
          <w:rFonts w:hint="eastAsia" w:ascii="仿宋" w:hAnsi="仿宋" w:eastAsia="仿宋"/>
          <w:sz w:val="28"/>
          <w:szCs w:val="28"/>
        </w:rPr>
      </w:pPr>
      <w:r>
        <w:rPr>
          <w:rFonts w:hint="eastAsia" w:ascii="仿宋" w:hAnsi="仿宋" w:eastAsia="仿宋"/>
          <w:sz w:val="28"/>
          <w:szCs w:val="28"/>
        </w:rPr>
        <w:t>廉洁合规承诺书</w:t>
      </w:r>
    </w:p>
    <w:p w14:paraId="6414197F">
      <w:pPr>
        <w:widowControl/>
        <w:spacing w:line="360" w:lineRule="auto"/>
        <w:ind w:firstLine="480" w:firstLineChars="200"/>
        <w:rPr>
          <w:rFonts w:hint="eastAsia" w:ascii="仿宋" w:hAnsi="仿宋" w:eastAsia="仿宋"/>
          <w:sz w:val="24"/>
          <w:szCs w:val="24"/>
        </w:rPr>
      </w:pPr>
    </w:p>
    <w:p w14:paraId="03A1C611">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一、不向华润员工及其亲属和其他特定关系人赠送礼品、礼金、消费卡（券）、有价证券、股权、其他金融产品等财物。</w:t>
      </w:r>
    </w:p>
    <w:p w14:paraId="513B3FAC">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二、不向华润员工及其亲属和其他特定关系人出借钱款、住房、车辆等财物。</w:t>
      </w:r>
    </w:p>
    <w:p w14:paraId="0AF4C432">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三、不向华润员工及其亲属和其他特定关系人提供可能影响公正履职的宴请或者旅游、健身、娱乐等活动安排。</w:t>
      </w:r>
    </w:p>
    <w:p w14:paraId="2BB76783">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四、不替华润员工及其亲属和其他特定关系人支付或报销任何费用。</w:t>
      </w:r>
    </w:p>
    <w:p w14:paraId="1C956E5B">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五、不替华润员工及其亲属和其他特定关系人代持股份。</w:t>
      </w:r>
    </w:p>
    <w:p w14:paraId="3C92C0C7">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六、不与华润员工或者其他单位和个人串通投标或者串通报价，不采取恶性竞争等不正当手段竞争业务。</w:t>
      </w:r>
    </w:p>
    <w:p w14:paraId="4DB61027">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七、不与华润员工就标底、其他供应商的响应文件等商业秘密及合同中的条款进行私下商谈或者达成默契。</w:t>
      </w:r>
    </w:p>
    <w:p w14:paraId="63314AE4">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八、不违法转包、分包项目。</w:t>
      </w:r>
    </w:p>
    <w:p w14:paraId="017F575F">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九、严格执行合同约定，不弄虚作假。</w:t>
      </w:r>
    </w:p>
    <w:p w14:paraId="188F66FB">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十、如实向华润方通报本单位股东和员工与华润方存在亲属或者其他特定关系的情况。</w:t>
      </w:r>
    </w:p>
    <w:p w14:paraId="7A4EC777">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发现本单位人员有违反上述行为的，及时制止、批评教育；发现华润员工有索贿、受贿行为的，坚决拒绝，并向华润相关领导或纪检监察部门举报。</w:t>
      </w:r>
    </w:p>
    <w:p w14:paraId="67711D46">
      <w:pPr>
        <w:widowControl/>
        <w:spacing w:line="360" w:lineRule="auto"/>
        <w:ind w:firstLine="480" w:firstLineChars="200"/>
        <w:rPr>
          <w:rFonts w:hint="eastAsia" w:ascii="仿宋" w:hAnsi="仿宋" w:eastAsia="仿宋"/>
          <w:sz w:val="24"/>
          <w:szCs w:val="24"/>
        </w:rPr>
      </w:pPr>
    </w:p>
    <w:p w14:paraId="71B66ECC">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举报电话：</w:t>
      </w:r>
    </w:p>
    <w:p w14:paraId="1F1CB4A2">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举报邮箱： </w:t>
      </w:r>
    </w:p>
    <w:p w14:paraId="304D5482">
      <w:pPr>
        <w:widowControl/>
        <w:spacing w:line="360" w:lineRule="auto"/>
        <w:ind w:firstLine="480" w:firstLineChars="200"/>
        <w:rPr>
          <w:rFonts w:hint="eastAsia" w:ascii="仿宋" w:hAnsi="仿宋" w:eastAsia="仿宋"/>
          <w:sz w:val="24"/>
          <w:szCs w:val="24"/>
        </w:rPr>
      </w:pPr>
    </w:p>
    <w:p w14:paraId="0F3068D6">
      <w:pPr>
        <w:widowControl/>
        <w:spacing w:line="360" w:lineRule="auto"/>
        <w:ind w:firstLine="480" w:firstLineChars="200"/>
        <w:rPr>
          <w:rFonts w:hint="eastAsia" w:ascii="仿宋" w:hAnsi="仿宋" w:eastAsia="仿宋"/>
          <w:sz w:val="24"/>
          <w:szCs w:val="24"/>
        </w:rPr>
      </w:pPr>
    </w:p>
    <w:p w14:paraId="5FDA9E55">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单位名称（盖章）：</w:t>
      </w:r>
    </w:p>
    <w:p w14:paraId="4A521F18">
      <w:pPr>
        <w:widowControl/>
        <w:spacing w:line="360" w:lineRule="auto"/>
        <w:ind w:firstLine="480" w:firstLineChars="200"/>
        <w:rPr>
          <w:rFonts w:hint="eastAsia" w:ascii="仿宋" w:hAnsi="仿宋" w:eastAsia="仿宋"/>
          <w:sz w:val="24"/>
          <w:szCs w:val="24"/>
        </w:rPr>
      </w:pPr>
    </w:p>
    <w:p w14:paraId="61E1C932">
      <w:pPr>
        <w:widowControl/>
        <w:spacing w:line="360" w:lineRule="auto"/>
        <w:ind w:firstLine="480" w:firstLineChars="200"/>
        <w:rPr>
          <w:rFonts w:hint="eastAsia" w:ascii="仿宋" w:hAnsi="仿宋" w:eastAsia="仿宋"/>
          <w:sz w:val="24"/>
          <w:szCs w:val="24"/>
        </w:rPr>
      </w:pPr>
    </w:p>
    <w:p w14:paraId="407ACB6D">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法定代表人或授权代表（签字）：</w:t>
      </w:r>
    </w:p>
    <w:p w14:paraId="7FAF663C">
      <w:pPr>
        <w:widowControl/>
        <w:spacing w:line="360" w:lineRule="auto"/>
        <w:ind w:firstLine="480" w:firstLineChars="200"/>
        <w:rPr>
          <w:rFonts w:hint="eastAsia" w:ascii="仿宋" w:hAnsi="仿宋" w:eastAsia="仿宋"/>
          <w:sz w:val="24"/>
          <w:szCs w:val="24"/>
        </w:rPr>
      </w:pPr>
    </w:p>
    <w:p w14:paraId="7A0FD6D1">
      <w:pPr>
        <w:widowControl/>
        <w:spacing w:line="360" w:lineRule="auto"/>
        <w:ind w:firstLine="480" w:firstLineChars="200"/>
        <w:rPr>
          <w:rFonts w:hint="eastAsia" w:ascii="仿宋" w:hAnsi="仿宋" w:eastAsia="仿宋"/>
          <w:sz w:val="24"/>
          <w:szCs w:val="24"/>
        </w:rPr>
      </w:pPr>
    </w:p>
    <w:p w14:paraId="5C7EE2D3">
      <w:pPr>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rPr>
        <w:t>日期：</w:t>
      </w:r>
    </w:p>
    <w:p w14:paraId="2ECFDCF4">
      <w:pPr>
        <w:spacing w:line="360" w:lineRule="auto"/>
        <w:ind w:firstLine="560" w:firstLineChars="200"/>
        <w:rPr>
          <w:rFonts w:ascii="仿宋" w:hAnsi="仿宋" w:eastAsia="仿宋"/>
          <w:i/>
          <w:iCs/>
          <w:sz w:val="28"/>
          <w:szCs w:val="28"/>
        </w:rPr>
      </w:pPr>
      <w:r>
        <w:rPr>
          <w:rFonts w:ascii="仿宋" w:hAnsi="仿宋" w:eastAsia="仿宋"/>
          <w:i/>
          <w:iCs/>
          <w:sz w:val="28"/>
          <w:szCs w:val="28"/>
        </w:rPr>
        <w:br w:type="page"/>
      </w:r>
    </w:p>
    <w:p w14:paraId="43694202">
      <w:pPr>
        <w:spacing w:after="312" w:afterLines="100"/>
        <w:jc w:val="center"/>
        <w:outlineLvl w:val="0"/>
        <w:rPr>
          <w:rFonts w:ascii="仿宋" w:hAnsi="仿宋" w:eastAsia="仿宋"/>
          <w:b/>
          <w:bCs/>
          <w:sz w:val="32"/>
          <w:szCs w:val="32"/>
        </w:rPr>
      </w:pPr>
      <w:r>
        <w:rPr>
          <w:rFonts w:hint="eastAsia" w:ascii="仿宋" w:hAnsi="仿宋" w:eastAsia="仿宋"/>
          <w:b/>
          <w:bCs/>
          <w:sz w:val="32"/>
          <w:szCs w:val="32"/>
        </w:rPr>
        <w:t>第四卷 响应文件</w:t>
      </w:r>
    </w:p>
    <w:p w14:paraId="6D7226C2">
      <w:pPr>
        <w:widowControl/>
        <w:spacing w:before="312" w:beforeLines="100" w:after="312" w:afterLines="100" w:line="360" w:lineRule="auto"/>
        <w:jc w:val="center"/>
        <w:rPr>
          <w:rFonts w:ascii="仿宋" w:hAnsi="仿宋" w:eastAsia="仿宋"/>
          <w:b/>
          <w:sz w:val="28"/>
        </w:rPr>
      </w:pPr>
      <w:r>
        <w:rPr>
          <w:rFonts w:hint="eastAsia" w:ascii="仿宋" w:hAnsi="仿宋" w:eastAsia="仿宋"/>
          <w:b/>
          <w:sz w:val="28"/>
        </w:rPr>
        <w:t>报价函</w:t>
      </w:r>
    </w:p>
    <w:p w14:paraId="33C572B7">
      <w:pPr>
        <w:spacing w:line="360" w:lineRule="auto"/>
        <w:rPr>
          <w:rFonts w:ascii="仿宋" w:hAnsi="仿宋" w:eastAsia="仿宋"/>
          <w:sz w:val="24"/>
          <w:szCs w:val="24"/>
          <w:u w:val="single"/>
        </w:rPr>
      </w:pPr>
      <w:r>
        <w:rPr>
          <w:rFonts w:hint="eastAsia" w:ascii="仿宋" w:hAnsi="仿宋" w:eastAsia="仿宋"/>
          <w:sz w:val="24"/>
          <w:szCs w:val="24"/>
          <w:highlight w:val="none"/>
          <w:u w:val="single"/>
        </w:rPr>
        <w:t>阜阳华润燃气有限公司</w:t>
      </w:r>
      <w:r>
        <w:rPr>
          <w:rFonts w:hint="eastAsia" w:ascii="仿宋" w:hAnsi="仿宋" w:eastAsia="仿宋"/>
          <w:sz w:val="24"/>
          <w:szCs w:val="24"/>
          <w:u w:val="single"/>
        </w:rPr>
        <w:t>：</w:t>
      </w:r>
    </w:p>
    <w:p w14:paraId="12B863A6">
      <w:pPr>
        <w:spacing w:line="360" w:lineRule="auto"/>
        <w:ind w:firstLine="480" w:firstLineChars="200"/>
        <w:rPr>
          <w:rFonts w:ascii="仿宋" w:hAnsi="仿宋" w:eastAsia="仿宋"/>
          <w:sz w:val="24"/>
          <w:szCs w:val="24"/>
        </w:rPr>
      </w:pPr>
      <w:r>
        <w:rPr>
          <w:rFonts w:hint="eastAsia" w:ascii="仿宋" w:hAnsi="仿宋" w:eastAsia="仿宋"/>
          <w:sz w:val="24"/>
          <w:szCs w:val="24"/>
        </w:rPr>
        <w:t>1、我公司已经仔细研究了贵公司关于</w:t>
      </w:r>
      <w:r>
        <w:rPr>
          <w:rFonts w:hint="eastAsia" w:ascii="仿宋" w:hAnsi="仿宋" w:eastAsia="仿宋"/>
          <w:color w:val="auto"/>
          <w:sz w:val="24"/>
          <w:szCs w:val="24"/>
          <w:highlight w:val="none"/>
        </w:rPr>
        <w:t>衡山路综合能源站安全类分析报告咨询项目</w:t>
      </w:r>
      <w:r>
        <w:rPr>
          <w:rFonts w:hint="eastAsia" w:ascii="仿宋" w:hAnsi="仿宋" w:eastAsia="仿宋"/>
          <w:sz w:val="24"/>
          <w:szCs w:val="24"/>
        </w:rPr>
        <w:t>的询</w:t>
      </w:r>
      <w:r>
        <w:rPr>
          <w:rFonts w:ascii="仿宋" w:hAnsi="仿宋" w:eastAsia="仿宋"/>
          <w:sz w:val="24"/>
          <w:szCs w:val="24"/>
        </w:rPr>
        <w:t>价</w:t>
      </w:r>
      <w:r>
        <w:rPr>
          <w:rFonts w:hint="eastAsia" w:ascii="仿宋" w:hAnsi="仿宋" w:eastAsia="仿宋"/>
          <w:sz w:val="24"/>
          <w:szCs w:val="24"/>
        </w:rPr>
        <w:t>文件的全部内容，我公司已充分考虑合同履行期间发生的风险</w:t>
      </w:r>
      <w:r>
        <w:rPr>
          <w:rFonts w:ascii="仿宋" w:hAnsi="仿宋" w:eastAsia="仿宋"/>
          <w:sz w:val="24"/>
          <w:szCs w:val="24"/>
        </w:rPr>
        <w:t>，</w:t>
      </w:r>
      <w:r>
        <w:rPr>
          <w:rFonts w:hint="eastAsia" w:ascii="仿宋" w:hAnsi="仿宋" w:eastAsia="仿宋"/>
          <w:sz w:val="24"/>
          <w:szCs w:val="24"/>
        </w:rPr>
        <w:t>愿意</w:t>
      </w:r>
      <w:r>
        <w:rPr>
          <w:rFonts w:hint="eastAsia" w:ascii="仿宋" w:hAnsi="仿宋" w:eastAsia="仿宋"/>
          <w:b/>
          <w:sz w:val="24"/>
          <w:szCs w:val="24"/>
        </w:rPr>
        <w:t>以含税价</w:t>
      </w:r>
      <w:r>
        <w:rPr>
          <w:rFonts w:ascii="Calibri" w:hAnsi="Calibri" w:eastAsia="仿宋" w:cs="Calibri"/>
          <w:b/>
          <w:sz w:val="24"/>
          <w:szCs w:val="24"/>
        </w:rPr>
        <w:t>¥</w:t>
      </w:r>
      <w:r>
        <w:rPr>
          <w:rFonts w:hint="eastAsia" w:ascii="仿宋" w:hAnsi="仿宋" w:eastAsia="仿宋"/>
          <w:b/>
          <w:sz w:val="24"/>
          <w:szCs w:val="24"/>
        </w:rPr>
        <w:t>：</w:t>
      </w:r>
      <w:r>
        <w:rPr>
          <w:rFonts w:ascii="仿宋" w:hAnsi="仿宋" w:eastAsia="仿宋"/>
          <w:b/>
          <w:sz w:val="24"/>
          <w:szCs w:val="24"/>
          <w:u w:val="single"/>
        </w:rPr>
        <w:t xml:space="preserve">     </w:t>
      </w:r>
      <w:r>
        <w:rPr>
          <w:rFonts w:hint="eastAsia" w:ascii="仿宋" w:hAnsi="仿宋" w:eastAsia="仿宋"/>
          <w:b/>
          <w:sz w:val="24"/>
          <w:szCs w:val="24"/>
          <w:u w:val="single"/>
        </w:rPr>
        <w:t>元</w:t>
      </w:r>
      <w:r>
        <w:rPr>
          <w:rFonts w:hint="eastAsia" w:ascii="仿宋" w:hAnsi="仿宋" w:eastAsia="仿宋"/>
          <w:b/>
          <w:sz w:val="24"/>
          <w:szCs w:val="24"/>
        </w:rPr>
        <w:t>（人</w:t>
      </w:r>
      <w:r>
        <w:rPr>
          <w:rFonts w:ascii="仿宋" w:hAnsi="仿宋" w:eastAsia="仿宋"/>
          <w:b/>
          <w:sz w:val="24"/>
          <w:szCs w:val="24"/>
        </w:rPr>
        <w:t>民币大写：</w:t>
      </w:r>
      <w:r>
        <w:rPr>
          <w:rFonts w:hint="eastAsia" w:ascii="仿宋" w:hAnsi="仿宋" w:eastAsia="仿宋"/>
          <w:b/>
          <w:sz w:val="24"/>
          <w:szCs w:val="24"/>
        </w:rPr>
        <w:t xml:space="preserve">            </w:t>
      </w:r>
      <w:r>
        <w:rPr>
          <w:rFonts w:ascii="仿宋" w:hAnsi="仿宋" w:eastAsia="仿宋"/>
          <w:b/>
          <w:sz w:val="24"/>
          <w:szCs w:val="24"/>
        </w:rPr>
        <w:t>）</w:t>
      </w:r>
      <w:r>
        <w:rPr>
          <w:rFonts w:hint="eastAsia" w:ascii="仿宋" w:hAnsi="仿宋" w:eastAsia="仿宋"/>
          <w:sz w:val="24"/>
          <w:szCs w:val="24"/>
        </w:rPr>
        <w:t>承担本项目，开具税率为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6</w:t>
      </w:r>
      <w:r>
        <w:rPr>
          <w:rFonts w:ascii="仿宋" w:hAnsi="仿宋" w:eastAsia="仿宋"/>
          <w:sz w:val="24"/>
          <w:szCs w:val="24"/>
          <w:u w:val="single"/>
        </w:rPr>
        <w:t xml:space="preserve"> %</w:t>
      </w:r>
      <w:r>
        <w:rPr>
          <w:rFonts w:ascii="仿宋" w:hAnsi="仿宋" w:eastAsia="仿宋"/>
          <w:sz w:val="24"/>
          <w:szCs w:val="24"/>
        </w:rPr>
        <w:t>增值税专用发票</w:t>
      </w:r>
      <w:r>
        <w:rPr>
          <w:rFonts w:hint="eastAsia" w:ascii="仿宋" w:hAnsi="仿宋" w:eastAsia="仿宋"/>
          <w:sz w:val="24"/>
          <w:szCs w:val="24"/>
        </w:rPr>
        <w:t>。</w:t>
      </w:r>
    </w:p>
    <w:p w14:paraId="6A1E1A76">
      <w:pPr>
        <w:spacing w:line="360" w:lineRule="auto"/>
        <w:ind w:firstLine="480" w:firstLineChars="200"/>
        <w:rPr>
          <w:rFonts w:ascii="仿宋" w:hAnsi="仿宋" w:eastAsia="仿宋"/>
          <w:sz w:val="24"/>
          <w:szCs w:val="24"/>
        </w:rPr>
      </w:pPr>
      <w:r>
        <w:rPr>
          <w:rFonts w:hint="eastAsia" w:ascii="仿宋" w:hAnsi="仿宋" w:eastAsia="仿宋"/>
          <w:sz w:val="24"/>
          <w:szCs w:val="24"/>
        </w:rPr>
        <w:t>2、我方响应询价文件的全部要求。</w:t>
      </w:r>
    </w:p>
    <w:p w14:paraId="77069D55">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、如我方中选：</w:t>
      </w:r>
    </w:p>
    <w:p w14:paraId="6BB28051">
      <w:pPr>
        <w:tabs>
          <w:tab w:val="left" w:pos="3585"/>
        </w:tabs>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1）在收到成交通知书后，在成交通知书规定的期限内与你方签订合同；</w:t>
      </w:r>
    </w:p>
    <w:p w14:paraId="2A9DD1F1">
      <w:pPr>
        <w:tabs>
          <w:tab w:val="left" w:pos="3585"/>
        </w:tabs>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2）在签订合同时不向你方提出附加条件；</w:t>
      </w:r>
    </w:p>
    <w:p w14:paraId="28C6E028">
      <w:pPr>
        <w:tabs>
          <w:tab w:val="left" w:pos="3585"/>
        </w:tabs>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3）在合同约定的期限内完成合同规定的全部义务。</w:t>
      </w:r>
    </w:p>
    <w:p w14:paraId="052C307B">
      <w:pPr>
        <w:tabs>
          <w:tab w:val="left" w:pos="3585"/>
        </w:tabs>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我方在此声明，所递交的响应文件及有关资料内容完整、真实和准确。</w:t>
      </w:r>
    </w:p>
    <w:p w14:paraId="2A808826">
      <w:pPr>
        <w:tabs>
          <w:tab w:val="left" w:pos="3585"/>
        </w:tabs>
        <w:spacing w:line="360" w:lineRule="auto"/>
        <w:ind w:firstLine="480" w:firstLineChars="200"/>
        <w:rPr>
          <w:rFonts w:ascii="仿宋" w:hAnsi="仿宋" w:eastAsia="仿宋"/>
          <w:sz w:val="24"/>
          <w:szCs w:val="24"/>
        </w:rPr>
      </w:pPr>
    </w:p>
    <w:p w14:paraId="10D13027">
      <w:pPr>
        <w:spacing w:line="360" w:lineRule="auto"/>
        <w:ind w:firstLine="3240" w:firstLineChars="1350"/>
        <w:rPr>
          <w:rFonts w:ascii="仿宋" w:hAnsi="仿宋" w:eastAsia="仿宋"/>
          <w:sz w:val="24"/>
          <w:szCs w:val="24"/>
        </w:rPr>
      </w:pPr>
      <w:r>
        <w:rPr>
          <w:rFonts w:hint="eastAsia" w:ascii="仿宋" w:hAnsi="仿宋" w:eastAsia="仿宋"/>
          <w:sz w:val="24"/>
          <w:szCs w:val="24"/>
        </w:rPr>
        <w:t>响应单位：（盖单位公章）</w:t>
      </w:r>
    </w:p>
    <w:p w14:paraId="7C54DD76">
      <w:pPr>
        <w:spacing w:line="360" w:lineRule="auto"/>
        <w:ind w:firstLine="3240" w:firstLineChars="1350"/>
        <w:rPr>
          <w:rFonts w:ascii="仿宋" w:hAnsi="仿宋" w:eastAsia="仿宋"/>
          <w:sz w:val="24"/>
          <w:szCs w:val="24"/>
        </w:rPr>
      </w:pPr>
    </w:p>
    <w:p w14:paraId="4D7CC51F">
      <w:pPr>
        <w:spacing w:line="360" w:lineRule="auto"/>
        <w:ind w:firstLine="480" w:firstLineChars="200"/>
        <w:jc w:val="center"/>
        <w:rPr>
          <w:rFonts w:ascii="仿宋" w:hAnsi="仿宋" w:eastAsia="仿宋"/>
          <w:sz w:val="24"/>
          <w:szCs w:val="24"/>
        </w:rPr>
      </w:pPr>
      <w:r>
        <w:rPr>
          <w:rFonts w:hint="eastAsia" w:ascii="仿宋" w:hAnsi="仿宋" w:eastAsia="仿宋"/>
          <w:sz w:val="24"/>
          <w:szCs w:val="24"/>
        </w:rPr>
        <w:t xml:space="preserve">                    法定代表人（或授权代表）：（签字或盖章）</w:t>
      </w:r>
    </w:p>
    <w:p w14:paraId="7E104252">
      <w:pPr>
        <w:spacing w:line="360" w:lineRule="auto"/>
        <w:ind w:firstLine="480" w:firstLineChars="200"/>
        <w:jc w:val="center"/>
        <w:rPr>
          <w:rFonts w:ascii="仿宋" w:hAnsi="仿宋" w:eastAsia="仿宋"/>
          <w:sz w:val="24"/>
          <w:szCs w:val="24"/>
        </w:rPr>
      </w:pPr>
    </w:p>
    <w:p w14:paraId="06622931">
      <w:pPr>
        <w:spacing w:line="360" w:lineRule="auto"/>
        <w:ind w:firstLine="480" w:firstLineChars="200"/>
        <w:jc w:val="center"/>
        <w:rPr>
          <w:rFonts w:ascii="宋体" w:hAnsi="宋体"/>
          <w:sz w:val="24"/>
        </w:rPr>
      </w:pPr>
      <w:r>
        <w:rPr>
          <w:rFonts w:hint="eastAsia" w:ascii="仿宋" w:hAnsi="仿宋" w:eastAsia="仿宋"/>
          <w:sz w:val="24"/>
          <w:szCs w:val="24"/>
        </w:rPr>
        <w:t xml:space="preserve">           年   月   日</w:t>
      </w:r>
      <w:r>
        <w:rPr>
          <w:szCs w:val="21"/>
        </w:rPr>
        <w:br w:type="page"/>
      </w:r>
    </w:p>
    <w:p w14:paraId="5A69AAEE">
      <w:pPr>
        <w:widowControl/>
        <w:spacing w:before="312" w:beforeLines="100" w:after="312" w:afterLines="100" w:line="360" w:lineRule="auto"/>
        <w:jc w:val="center"/>
        <w:rPr>
          <w:rFonts w:ascii="仿宋" w:hAnsi="仿宋" w:eastAsia="仿宋"/>
          <w:b/>
          <w:sz w:val="28"/>
        </w:rPr>
      </w:pPr>
      <w:r>
        <w:rPr>
          <w:rFonts w:hint="eastAsia" w:ascii="仿宋" w:hAnsi="仿宋" w:eastAsia="仿宋"/>
          <w:b/>
          <w:sz w:val="28"/>
        </w:rPr>
        <w:t>报价一览表</w:t>
      </w:r>
    </w:p>
    <w:p w14:paraId="1AC3E2D7">
      <w:pPr>
        <w:spacing w:line="360" w:lineRule="auto"/>
        <w:rPr>
          <w:rFonts w:hint="eastAsia" w:ascii="仿宋" w:hAnsi="仿宋" w:eastAsia="仿宋"/>
          <w:sz w:val="24"/>
          <w:szCs w:val="28"/>
          <w:highlight w:val="yellow"/>
          <w:u w:val="single"/>
        </w:rPr>
      </w:pPr>
      <w:bookmarkStart w:id="3" w:name="_Hlk137964285"/>
      <w:r>
        <w:rPr>
          <w:rFonts w:hint="eastAsia" w:ascii="仿宋" w:hAnsi="仿宋" w:eastAsia="仿宋"/>
          <w:sz w:val="24"/>
          <w:szCs w:val="28"/>
        </w:rPr>
        <w:t>项目名</w:t>
      </w:r>
      <w:r>
        <w:rPr>
          <w:rFonts w:hint="eastAsia" w:ascii="仿宋" w:hAnsi="仿宋" w:eastAsia="仿宋"/>
          <w:sz w:val="24"/>
          <w:szCs w:val="24"/>
        </w:rPr>
        <w:t>称：</w:t>
      </w:r>
      <w:r>
        <w:rPr>
          <w:rFonts w:hint="eastAsia" w:ascii="仿宋" w:hAnsi="仿宋" w:eastAsia="仿宋"/>
          <w:sz w:val="24"/>
          <w:szCs w:val="28"/>
          <w:highlight w:val="none"/>
          <w:u w:val="single"/>
        </w:rPr>
        <w:t>衡山路综合能源站安全类分析报告咨询项目</w:t>
      </w:r>
    </w:p>
    <w:bookmarkEnd w:id="3"/>
    <w:tbl>
      <w:tblPr>
        <w:tblStyle w:val="7"/>
        <w:tblW w:w="9836" w:type="dxa"/>
        <w:jc w:val="center"/>
        <w:tblLayout w:type="fixed"/>
        <w:tblCellMar>
          <w:top w:w="0" w:type="dxa"/>
          <w:left w:w="108" w:type="dxa"/>
          <w:bottom w:w="0" w:type="dxa"/>
          <w:right w:w="108" w:type="dxa"/>
        </w:tblCellMar>
      </w:tblPr>
      <w:tblGrid>
        <w:gridCol w:w="704"/>
        <w:gridCol w:w="1559"/>
        <w:gridCol w:w="1560"/>
        <w:gridCol w:w="816"/>
        <w:gridCol w:w="1286"/>
        <w:gridCol w:w="1303"/>
        <w:gridCol w:w="1272"/>
        <w:gridCol w:w="1336"/>
      </w:tblGrid>
      <w:tr w14:paraId="01213AF0">
        <w:tblPrEx>
          <w:tblCellMar>
            <w:top w:w="0" w:type="dxa"/>
            <w:left w:w="108" w:type="dxa"/>
            <w:bottom w:w="0" w:type="dxa"/>
            <w:right w:w="108" w:type="dxa"/>
          </w:tblCellMar>
        </w:tblPrEx>
        <w:trPr>
          <w:trHeight w:val="8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B48C2">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5E477D5">
            <w:pPr>
              <w:widowControl/>
              <w:jc w:val="center"/>
              <w:rPr>
                <w:rFonts w:ascii="仿宋" w:hAnsi="仿宋" w:eastAsia="仿宋" w:cs="宋体"/>
                <w:kern w:val="0"/>
                <w:sz w:val="24"/>
                <w:szCs w:val="24"/>
              </w:rPr>
            </w:pPr>
            <w:r>
              <w:rPr>
                <w:rFonts w:hint="eastAsia" w:ascii="仿宋" w:hAnsi="仿宋" w:eastAsia="仿宋" w:cs="宋体"/>
                <w:kern w:val="0"/>
                <w:sz w:val="24"/>
                <w:szCs w:val="24"/>
              </w:rPr>
              <w:t>项目/产品</w:t>
            </w:r>
          </w:p>
          <w:p w14:paraId="266541E8">
            <w:pPr>
              <w:widowControl/>
              <w:jc w:val="center"/>
              <w:rPr>
                <w:rFonts w:ascii="仿宋" w:hAnsi="仿宋" w:eastAsia="仿宋" w:cs="宋体"/>
                <w:kern w:val="0"/>
                <w:sz w:val="24"/>
                <w:szCs w:val="24"/>
              </w:rPr>
            </w:pPr>
            <w:r>
              <w:rPr>
                <w:rFonts w:hint="eastAsia" w:ascii="仿宋" w:hAnsi="仿宋" w:eastAsia="仿宋" w:cs="宋体"/>
                <w:kern w:val="0"/>
                <w:sz w:val="24"/>
                <w:szCs w:val="24"/>
              </w:rPr>
              <w:t>名称</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1639FD9">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明细</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26F4733">
            <w:pPr>
              <w:widowControl/>
              <w:jc w:val="center"/>
              <w:rPr>
                <w:rFonts w:ascii="仿宋" w:hAnsi="仿宋" w:eastAsia="仿宋" w:cs="宋体"/>
                <w:kern w:val="0"/>
                <w:sz w:val="24"/>
                <w:szCs w:val="24"/>
              </w:rPr>
            </w:pPr>
            <w:r>
              <w:rPr>
                <w:rFonts w:ascii="仿宋" w:hAnsi="仿宋" w:eastAsia="仿宋" w:cs="宋体"/>
                <w:kern w:val="0"/>
                <w:sz w:val="24"/>
                <w:szCs w:val="24"/>
              </w:rPr>
              <w:t>计量单位</w:t>
            </w:r>
          </w:p>
        </w:tc>
        <w:tc>
          <w:tcPr>
            <w:tcW w:w="1286" w:type="dxa"/>
            <w:tcBorders>
              <w:top w:val="single" w:color="auto" w:sz="4" w:space="0"/>
              <w:left w:val="nil"/>
              <w:bottom w:val="single" w:color="auto" w:sz="4" w:space="0"/>
              <w:right w:val="single" w:color="auto" w:sz="4" w:space="0"/>
            </w:tcBorders>
            <w:shd w:val="clear" w:color="auto" w:fill="auto"/>
            <w:vAlign w:val="center"/>
          </w:tcPr>
          <w:p w14:paraId="2937A895">
            <w:pPr>
              <w:widowControl/>
              <w:jc w:val="center"/>
              <w:rPr>
                <w:rFonts w:ascii="仿宋" w:hAnsi="仿宋" w:eastAsia="仿宋" w:cs="宋体"/>
                <w:kern w:val="0"/>
                <w:sz w:val="24"/>
                <w:szCs w:val="24"/>
              </w:rPr>
            </w:pPr>
            <w:r>
              <w:rPr>
                <w:rFonts w:hint="eastAsia" w:ascii="仿宋" w:hAnsi="仿宋" w:eastAsia="仿宋" w:cs="宋体"/>
                <w:kern w:val="0"/>
                <w:sz w:val="24"/>
                <w:szCs w:val="24"/>
              </w:rPr>
              <w:t>采购量（虚拟）</w:t>
            </w: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724230DA">
            <w:pPr>
              <w:widowControl/>
              <w:jc w:val="center"/>
              <w:rPr>
                <w:rFonts w:ascii="仿宋" w:hAnsi="仿宋" w:eastAsia="仿宋" w:cs="宋体"/>
                <w:kern w:val="0"/>
                <w:sz w:val="24"/>
                <w:szCs w:val="24"/>
              </w:rPr>
            </w:pPr>
            <w:r>
              <w:rPr>
                <w:rFonts w:hint="eastAsia" w:ascii="仿宋" w:hAnsi="仿宋" w:eastAsia="仿宋" w:cs="宋体"/>
                <w:kern w:val="0"/>
                <w:sz w:val="24"/>
                <w:szCs w:val="24"/>
              </w:rPr>
              <w:t>单价含税（元）</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141F6">
            <w:pPr>
              <w:widowControl/>
              <w:jc w:val="center"/>
              <w:rPr>
                <w:rFonts w:ascii="仿宋" w:hAnsi="仿宋" w:eastAsia="仿宋" w:cs="宋体"/>
                <w:kern w:val="0"/>
                <w:sz w:val="24"/>
                <w:szCs w:val="24"/>
              </w:rPr>
            </w:pPr>
            <w:r>
              <w:rPr>
                <w:rFonts w:hint="eastAsia" w:ascii="仿宋" w:hAnsi="仿宋" w:eastAsia="仿宋" w:cs="宋体"/>
                <w:kern w:val="0"/>
                <w:sz w:val="24"/>
                <w:szCs w:val="24"/>
              </w:rPr>
              <w:t>小计</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E7443">
            <w:pPr>
              <w:widowControl/>
              <w:jc w:val="center"/>
              <w:rPr>
                <w:rFonts w:ascii="仿宋" w:hAnsi="仿宋" w:eastAsia="仿宋" w:cs="宋体"/>
                <w:kern w:val="0"/>
                <w:sz w:val="24"/>
                <w:szCs w:val="24"/>
              </w:rPr>
            </w:pPr>
            <w:r>
              <w:rPr>
                <w:rFonts w:hint="eastAsia" w:ascii="仿宋" w:hAnsi="仿宋" w:eastAsia="仿宋" w:cs="宋体"/>
                <w:kern w:val="0"/>
                <w:sz w:val="24"/>
                <w:szCs w:val="24"/>
              </w:rPr>
              <w:t>备注</w:t>
            </w:r>
          </w:p>
        </w:tc>
      </w:tr>
      <w:tr w14:paraId="5AE658BB">
        <w:tblPrEx>
          <w:tblCellMar>
            <w:top w:w="0" w:type="dxa"/>
            <w:left w:w="108" w:type="dxa"/>
            <w:bottom w:w="0" w:type="dxa"/>
            <w:right w:w="108" w:type="dxa"/>
          </w:tblCellMar>
        </w:tblPrEx>
        <w:trPr>
          <w:trHeight w:val="66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56F29">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59" w:type="dxa"/>
            <w:tcBorders>
              <w:top w:val="single" w:color="auto" w:sz="4" w:space="0"/>
              <w:left w:val="nil"/>
              <w:right w:val="single" w:color="auto" w:sz="4" w:space="0"/>
            </w:tcBorders>
            <w:shd w:val="clear" w:color="auto" w:fill="auto"/>
            <w:noWrap/>
            <w:vAlign w:val="center"/>
          </w:tcPr>
          <w:p w14:paraId="2BFEF183">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衡山路综合能源站项目</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231317D">
            <w:pPr>
              <w:widowControl/>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控制室抗暴分析计算评估报告</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26EDE1E0">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286" w:type="dxa"/>
            <w:tcBorders>
              <w:top w:val="single" w:color="auto" w:sz="4" w:space="0"/>
              <w:left w:val="nil"/>
              <w:bottom w:val="single" w:color="auto" w:sz="4" w:space="0"/>
              <w:right w:val="single" w:color="auto" w:sz="4" w:space="0"/>
            </w:tcBorders>
            <w:shd w:val="clear" w:color="auto" w:fill="auto"/>
            <w:vAlign w:val="center"/>
          </w:tcPr>
          <w:p w14:paraId="7939CEB5">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7E2B4226">
            <w:pPr>
              <w:widowControl/>
              <w:jc w:val="center"/>
              <w:rPr>
                <w:rFonts w:ascii="仿宋" w:hAnsi="仿宋" w:eastAsia="仿宋" w:cs="宋体"/>
                <w:kern w:val="0"/>
                <w:sz w:val="24"/>
                <w:szCs w:val="24"/>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4BE34">
            <w:pPr>
              <w:widowControl/>
              <w:jc w:val="center"/>
              <w:rPr>
                <w:rFonts w:ascii="仿宋" w:hAnsi="仿宋" w:eastAsia="仿宋" w:cs="宋体"/>
                <w:kern w:val="0"/>
                <w:sz w:val="24"/>
                <w:szCs w:val="24"/>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34684">
            <w:pPr>
              <w:widowControl/>
              <w:jc w:val="center"/>
              <w:rPr>
                <w:rFonts w:ascii="仿宋" w:hAnsi="仿宋" w:eastAsia="仿宋" w:cs="宋体"/>
                <w:kern w:val="0"/>
                <w:sz w:val="24"/>
                <w:szCs w:val="24"/>
              </w:rPr>
            </w:pPr>
          </w:p>
        </w:tc>
      </w:tr>
      <w:tr w14:paraId="6E1994FE">
        <w:tblPrEx>
          <w:tblCellMar>
            <w:top w:w="0" w:type="dxa"/>
            <w:left w:w="108" w:type="dxa"/>
            <w:bottom w:w="0" w:type="dxa"/>
            <w:right w:w="108" w:type="dxa"/>
          </w:tblCellMar>
        </w:tblPrEx>
        <w:trPr>
          <w:trHeight w:val="468" w:hRule="atLeast"/>
          <w:jc w:val="center"/>
        </w:trPr>
        <w:tc>
          <w:tcPr>
            <w:tcW w:w="38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A8258E">
            <w:pPr>
              <w:widowControl/>
              <w:jc w:val="center"/>
              <w:rPr>
                <w:rFonts w:ascii="仿宋" w:hAnsi="仿宋" w:eastAsia="仿宋" w:cs="宋体"/>
                <w:kern w:val="0"/>
                <w:sz w:val="24"/>
                <w:szCs w:val="24"/>
              </w:rPr>
            </w:pPr>
            <w:r>
              <w:rPr>
                <w:rFonts w:hint="eastAsia" w:ascii="仿宋" w:hAnsi="仿宋" w:eastAsia="仿宋" w:cs="宋体"/>
                <w:kern w:val="0"/>
                <w:sz w:val="24"/>
                <w:szCs w:val="24"/>
              </w:rPr>
              <w:t>增值税税率</w:t>
            </w:r>
          </w:p>
        </w:tc>
        <w:tc>
          <w:tcPr>
            <w:tcW w:w="6013" w:type="dxa"/>
            <w:gridSpan w:val="5"/>
            <w:tcBorders>
              <w:top w:val="single" w:color="auto" w:sz="4" w:space="0"/>
              <w:left w:val="nil"/>
              <w:bottom w:val="single" w:color="auto" w:sz="4" w:space="0"/>
              <w:right w:val="single" w:color="auto" w:sz="4" w:space="0"/>
            </w:tcBorders>
            <w:shd w:val="clear" w:color="auto" w:fill="auto"/>
            <w:vAlign w:val="center"/>
          </w:tcPr>
          <w:p w14:paraId="48A3440A">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w:t>
            </w:r>
          </w:p>
        </w:tc>
      </w:tr>
      <w:tr w14:paraId="0F3CDD21">
        <w:tblPrEx>
          <w:tblCellMar>
            <w:top w:w="0" w:type="dxa"/>
            <w:left w:w="108" w:type="dxa"/>
            <w:bottom w:w="0" w:type="dxa"/>
            <w:right w:w="108" w:type="dxa"/>
          </w:tblCellMar>
        </w:tblPrEx>
        <w:trPr>
          <w:trHeight w:val="443" w:hRule="atLeast"/>
          <w:jc w:val="center"/>
        </w:trPr>
        <w:tc>
          <w:tcPr>
            <w:tcW w:w="38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5562E6">
            <w:pPr>
              <w:widowControl/>
              <w:jc w:val="center"/>
              <w:rPr>
                <w:rFonts w:ascii="仿宋" w:hAnsi="仿宋" w:eastAsia="仿宋" w:cs="宋体"/>
                <w:kern w:val="0"/>
                <w:sz w:val="24"/>
                <w:szCs w:val="24"/>
              </w:rPr>
            </w:pPr>
            <w:r>
              <w:rPr>
                <w:rFonts w:hint="eastAsia" w:ascii="仿宋" w:hAnsi="仿宋" w:eastAsia="仿宋" w:cs="宋体"/>
                <w:kern w:val="0"/>
                <w:sz w:val="24"/>
                <w:szCs w:val="24"/>
              </w:rPr>
              <w:t>含税合计金额</w:t>
            </w:r>
          </w:p>
        </w:tc>
        <w:tc>
          <w:tcPr>
            <w:tcW w:w="6013" w:type="dxa"/>
            <w:gridSpan w:val="5"/>
            <w:tcBorders>
              <w:top w:val="single" w:color="auto" w:sz="4" w:space="0"/>
              <w:left w:val="nil"/>
              <w:bottom w:val="single" w:color="auto" w:sz="4" w:space="0"/>
              <w:right w:val="single" w:color="auto" w:sz="4" w:space="0"/>
            </w:tcBorders>
            <w:shd w:val="clear" w:color="auto" w:fill="auto"/>
            <w:vAlign w:val="center"/>
          </w:tcPr>
          <w:p w14:paraId="7AB93937">
            <w:pPr>
              <w:widowControl/>
              <w:jc w:val="center"/>
              <w:rPr>
                <w:rFonts w:hint="default" w:ascii="仿宋" w:hAnsi="仿宋" w:eastAsia="仿宋" w:cs="宋体"/>
                <w:kern w:val="0"/>
                <w:sz w:val="24"/>
                <w:szCs w:val="24"/>
                <w:lang w:val="en-US"/>
              </w:rPr>
            </w:pPr>
          </w:p>
        </w:tc>
      </w:tr>
      <w:tr w14:paraId="7517621B">
        <w:tblPrEx>
          <w:tblCellMar>
            <w:top w:w="0" w:type="dxa"/>
            <w:left w:w="108" w:type="dxa"/>
            <w:bottom w:w="0" w:type="dxa"/>
            <w:right w:w="108" w:type="dxa"/>
          </w:tblCellMar>
        </w:tblPrEx>
        <w:trPr>
          <w:trHeight w:val="443" w:hRule="atLeast"/>
          <w:jc w:val="center"/>
        </w:trPr>
        <w:tc>
          <w:tcPr>
            <w:tcW w:w="983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6C90115">
            <w:pPr>
              <w:widowControl/>
              <w:rPr>
                <w:rFonts w:ascii="仿宋" w:hAnsi="仿宋" w:eastAsia="仿宋" w:cs="宋体"/>
                <w:kern w:val="0"/>
                <w:sz w:val="24"/>
                <w:szCs w:val="24"/>
              </w:rPr>
            </w:pPr>
            <w:r>
              <w:rPr>
                <w:rFonts w:hint="eastAsia" w:ascii="仿宋" w:hAnsi="仿宋" w:eastAsia="仿宋" w:cs="宋体"/>
                <w:kern w:val="0"/>
                <w:sz w:val="24"/>
                <w:szCs w:val="24"/>
              </w:rPr>
              <w:t>备注：</w:t>
            </w:r>
          </w:p>
          <w:p w14:paraId="46131D88">
            <w:pPr>
              <w:widowControl/>
              <w:numPr>
                <w:ilvl w:val="0"/>
                <w:numId w:val="2"/>
              </w:numPr>
              <w:rPr>
                <w:rFonts w:ascii="仿宋" w:hAnsi="仿宋" w:eastAsia="仿宋" w:cs="宋体"/>
                <w:kern w:val="0"/>
                <w:sz w:val="24"/>
                <w:szCs w:val="24"/>
              </w:rPr>
            </w:pPr>
            <w:r>
              <w:rPr>
                <w:rFonts w:hint="eastAsia" w:ascii="仿宋" w:hAnsi="仿宋" w:eastAsia="仿宋" w:cs="宋体"/>
                <w:kern w:val="0"/>
                <w:sz w:val="24"/>
                <w:szCs w:val="24"/>
              </w:rPr>
              <w:t>该报价包含增值税专用发票（税率</w:t>
            </w:r>
            <w:r>
              <w:rPr>
                <w:rFonts w:hint="eastAsia" w:ascii="仿宋" w:hAnsi="仿宋" w:eastAsia="仿宋" w:cs="宋体"/>
                <w:kern w:val="0"/>
                <w:sz w:val="24"/>
                <w:szCs w:val="24"/>
                <w:highlight w:val="none"/>
                <w:lang w:val="en-US" w:eastAsia="zh-CN"/>
              </w:rPr>
              <w:t>6</w:t>
            </w:r>
            <w:r>
              <w:rPr>
                <w:rFonts w:hint="eastAsia" w:ascii="仿宋" w:hAnsi="仿宋" w:eastAsia="仿宋" w:cs="宋体"/>
                <w:kern w:val="0"/>
                <w:sz w:val="24"/>
                <w:szCs w:val="24"/>
                <w:highlight w:val="none"/>
              </w:rPr>
              <w:t>%）</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相关评审费</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报告编制费</w:t>
            </w:r>
            <w:r>
              <w:rPr>
                <w:rFonts w:hint="eastAsia" w:ascii="仿宋" w:hAnsi="仿宋" w:eastAsia="仿宋" w:cs="宋体"/>
                <w:kern w:val="0"/>
                <w:sz w:val="24"/>
                <w:szCs w:val="24"/>
              </w:rPr>
              <w:t>、技术服务费、检测费、检验费、售后服务等所有附加服务费用。</w:t>
            </w:r>
          </w:p>
          <w:p w14:paraId="07A43FC7">
            <w:pPr>
              <w:widowControl/>
              <w:numPr>
                <w:ilvl w:val="0"/>
                <w:numId w:val="0"/>
              </w:numP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2.10</w:t>
            </w:r>
            <w:bookmarkStart w:id="7" w:name="_GoBack"/>
            <w:bookmarkEnd w:id="7"/>
            <w:r>
              <w:rPr>
                <w:rFonts w:hint="eastAsia" w:ascii="仿宋" w:hAnsi="仿宋" w:eastAsia="仿宋" w:cs="宋体"/>
                <w:kern w:val="0"/>
                <w:sz w:val="24"/>
                <w:szCs w:val="24"/>
                <w:lang w:val="en-US" w:eastAsia="zh-CN"/>
              </w:rPr>
              <w:t>天内出具成果报告。</w:t>
            </w:r>
          </w:p>
        </w:tc>
      </w:tr>
    </w:tbl>
    <w:p w14:paraId="2C3B363C">
      <w:pPr>
        <w:spacing w:line="360" w:lineRule="auto"/>
        <w:rPr>
          <w:rFonts w:ascii="仿宋" w:hAnsi="仿宋" w:eastAsia="仿宋"/>
          <w:sz w:val="24"/>
          <w:szCs w:val="24"/>
        </w:rPr>
      </w:pPr>
    </w:p>
    <w:p w14:paraId="21EA5753">
      <w:pPr>
        <w:widowControl/>
        <w:wordWrap w:val="0"/>
        <w:spacing w:before="1248" w:beforeLines="400" w:line="360" w:lineRule="auto"/>
        <w:jc w:val="right"/>
        <w:rPr>
          <w:rFonts w:ascii="仿宋" w:hAnsi="仿宋" w:eastAsia="仿宋"/>
          <w:sz w:val="24"/>
        </w:rPr>
      </w:pPr>
      <w:r>
        <w:rPr>
          <w:rFonts w:hint="eastAsia" w:ascii="仿宋" w:hAnsi="仿宋" w:eastAsia="仿宋"/>
          <w:sz w:val="24"/>
        </w:rPr>
        <w:t xml:space="preserve">响应单位（公章）： </w:t>
      </w:r>
      <w:r>
        <w:rPr>
          <w:rFonts w:ascii="仿宋" w:hAnsi="仿宋" w:eastAsia="仿宋"/>
          <w:sz w:val="24"/>
        </w:rPr>
        <w:t xml:space="preserve">       </w:t>
      </w:r>
    </w:p>
    <w:p w14:paraId="10606053">
      <w:pPr>
        <w:widowControl/>
        <w:wordWrap w:val="0"/>
        <w:spacing w:before="624" w:beforeLines="200" w:line="360" w:lineRule="auto"/>
        <w:jc w:val="right"/>
        <w:rPr>
          <w:rFonts w:ascii="仿宋" w:hAnsi="仿宋" w:eastAsia="仿宋"/>
          <w:sz w:val="24"/>
        </w:rPr>
      </w:pPr>
      <w:r>
        <w:rPr>
          <w:rFonts w:hint="eastAsia" w:ascii="仿宋" w:hAnsi="仿宋" w:eastAsia="仿宋"/>
          <w:sz w:val="24"/>
        </w:rPr>
        <w:t>授权代表（签名）：</w:t>
      </w:r>
      <w:r>
        <w:rPr>
          <w:rFonts w:ascii="仿宋" w:hAnsi="仿宋" w:eastAsia="仿宋"/>
          <w:sz w:val="24"/>
        </w:rPr>
        <w:t xml:space="preserve">        </w:t>
      </w:r>
    </w:p>
    <w:p w14:paraId="6FA4D22B">
      <w:pPr>
        <w:widowControl/>
        <w:wordWrap w:val="0"/>
        <w:spacing w:before="312" w:beforeLines="100" w:line="360" w:lineRule="auto"/>
        <w:jc w:val="right"/>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14:paraId="6D9225A8">
      <w:pPr>
        <w:widowControl/>
        <w:spacing w:before="312" w:beforeLines="100" w:after="312" w:afterLines="100" w:line="360" w:lineRule="auto"/>
        <w:jc w:val="center"/>
        <w:rPr>
          <w:rFonts w:ascii="仿宋" w:hAnsi="仿宋" w:eastAsia="仿宋"/>
          <w:b/>
          <w:sz w:val="28"/>
        </w:rPr>
      </w:pPr>
      <w:r>
        <w:rPr>
          <w:rFonts w:ascii="仿宋" w:hAnsi="仿宋" w:eastAsia="仿宋"/>
          <w:sz w:val="24"/>
        </w:rPr>
        <w:br w:type="page"/>
      </w:r>
    </w:p>
    <w:p w14:paraId="4B53FFB8">
      <w:pPr>
        <w:widowControl/>
        <w:spacing w:before="312" w:beforeLines="100" w:after="312" w:afterLines="100" w:line="360" w:lineRule="auto"/>
        <w:jc w:val="center"/>
        <w:rPr>
          <w:rFonts w:ascii="仿宋" w:hAnsi="仿宋" w:eastAsia="仿宋"/>
          <w:b/>
          <w:sz w:val="28"/>
        </w:rPr>
      </w:pPr>
      <w:r>
        <w:rPr>
          <w:rFonts w:hint="eastAsia" w:ascii="仿宋" w:hAnsi="仿宋" w:eastAsia="仿宋"/>
          <w:b/>
          <w:sz w:val="28"/>
        </w:rPr>
        <w:t>营业执照有效复印件</w:t>
      </w:r>
    </w:p>
    <w:p w14:paraId="7C5D0E42">
      <w:pPr>
        <w:pStyle w:val="3"/>
        <w:jc w:val="center"/>
        <w:rPr>
          <w:rFonts w:ascii="仿宋" w:hAnsi="仿宋" w:eastAsia="仿宋"/>
          <w:szCs w:val="24"/>
        </w:rPr>
      </w:pPr>
      <w:r>
        <w:rPr>
          <w:rFonts w:hint="eastAsia" w:ascii="仿宋" w:hAnsi="仿宋" w:eastAsia="仿宋"/>
          <w:szCs w:val="24"/>
        </w:rPr>
        <w:t>（需加盖公章）</w:t>
      </w:r>
    </w:p>
    <w:p w14:paraId="1839FE66">
      <w:pPr>
        <w:widowControl/>
        <w:spacing w:before="312" w:beforeLines="100" w:after="312" w:afterLines="100" w:line="360" w:lineRule="auto"/>
        <w:jc w:val="center"/>
        <w:rPr>
          <w:rFonts w:ascii="仿宋" w:hAnsi="仿宋" w:eastAsia="仿宋"/>
          <w:b/>
          <w:kern w:val="0"/>
          <w:sz w:val="28"/>
        </w:rPr>
      </w:pPr>
    </w:p>
    <w:p w14:paraId="4A08F0CF">
      <w:pPr>
        <w:widowControl/>
        <w:spacing w:before="312" w:beforeLines="100" w:after="312" w:afterLines="100" w:line="360" w:lineRule="auto"/>
        <w:jc w:val="center"/>
        <w:rPr>
          <w:rFonts w:ascii="仿宋" w:hAnsi="仿宋" w:eastAsia="仿宋"/>
          <w:b/>
          <w:kern w:val="0"/>
          <w:sz w:val="28"/>
        </w:rPr>
      </w:pPr>
      <w:r>
        <w:rPr>
          <w:rFonts w:hint="eastAsia" w:ascii="仿宋" w:hAnsi="仿宋" w:eastAsia="仿宋"/>
          <w:b/>
          <w:kern w:val="0"/>
          <w:sz w:val="28"/>
        </w:rPr>
        <w:br w:type="page"/>
      </w:r>
    </w:p>
    <w:p w14:paraId="0B61932B">
      <w:pPr>
        <w:widowControl/>
        <w:spacing w:after="312" w:afterLines="100" w:line="360" w:lineRule="auto"/>
        <w:jc w:val="center"/>
        <w:rPr>
          <w:rFonts w:ascii="仿宋" w:hAnsi="仿宋" w:eastAsia="仿宋"/>
          <w:b/>
          <w:sz w:val="28"/>
        </w:rPr>
      </w:pPr>
      <w:bookmarkStart w:id="4" w:name="_Hlk138180507"/>
      <w:r>
        <w:rPr>
          <w:rFonts w:hint="eastAsia" w:ascii="仿宋" w:hAnsi="仿宋" w:eastAsia="仿宋"/>
          <w:b/>
          <w:sz w:val="28"/>
        </w:rPr>
        <w:t>响应单位资质证书、信用证明</w:t>
      </w:r>
      <w:r>
        <w:rPr>
          <w:rFonts w:hint="eastAsia" w:ascii="仿宋" w:hAnsi="仿宋" w:eastAsia="仿宋"/>
          <w:b/>
          <w:sz w:val="28"/>
          <w:lang w:eastAsia="zh-CN"/>
        </w:rPr>
        <w:t>、</w:t>
      </w:r>
      <w:r>
        <w:rPr>
          <w:rFonts w:hint="eastAsia" w:ascii="仿宋" w:hAnsi="仿宋" w:eastAsia="仿宋"/>
          <w:b/>
          <w:sz w:val="28"/>
          <w:lang w:val="en-US" w:eastAsia="zh-CN"/>
        </w:rPr>
        <w:t>业绩</w:t>
      </w:r>
      <w:r>
        <w:rPr>
          <w:rFonts w:hint="eastAsia" w:ascii="仿宋" w:hAnsi="仿宋" w:eastAsia="仿宋"/>
          <w:b/>
          <w:sz w:val="28"/>
        </w:rPr>
        <w:t>等有关材料</w:t>
      </w:r>
    </w:p>
    <w:p w14:paraId="549210EF">
      <w:pPr>
        <w:spacing w:line="360" w:lineRule="auto"/>
        <w:jc w:val="left"/>
        <w:rPr>
          <w:rFonts w:ascii="仿宋" w:hAnsi="仿宋" w:eastAsia="仿宋"/>
          <w:sz w:val="24"/>
          <w:szCs w:val="24"/>
        </w:rPr>
      </w:pPr>
      <w:r>
        <w:rPr>
          <w:rFonts w:ascii="仿宋" w:hAnsi="仿宋" w:eastAsia="仿宋"/>
          <w:sz w:val="24"/>
          <w:szCs w:val="24"/>
        </w:rPr>
        <w:t>1.….</w:t>
      </w:r>
    </w:p>
    <w:bookmarkEnd w:id="4"/>
    <w:p w14:paraId="41FED98B">
      <w:pPr>
        <w:widowControl/>
        <w:spacing w:before="312" w:beforeLines="100" w:after="312" w:afterLines="100" w:line="360" w:lineRule="auto"/>
        <w:rPr>
          <w:rFonts w:ascii="仿宋" w:hAnsi="仿宋" w:eastAsia="仿宋"/>
          <w:b/>
          <w:kern w:val="0"/>
          <w:sz w:val="28"/>
        </w:rPr>
      </w:pPr>
    </w:p>
    <w:p w14:paraId="210FFEB5">
      <w:pPr>
        <w:widowControl/>
        <w:spacing w:before="312" w:beforeLines="100" w:after="312" w:afterLines="100" w:line="360" w:lineRule="auto"/>
        <w:rPr>
          <w:rFonts w:ascii="仿宋" w:hAnsi="仿宋" w:eastAsia="仿宋"/>
          <w:b/>
          <w:kern w:val="0"/>
          <w:sz w:val="28"/>
        </w:rPr>
      </w:pPr>
    </w:p>
    <w:p w14:paraId="51D1ED21">
      <w:pPr>
        <w:widowControl/>
        <w:spacing w:before="312" w:beforeLines="100" w:after="312" w:afterLines="100" w:line="360" w:lineRule="auto"/>
        <w:rPr>
          <w:rFonts w:ascii="仿宋" w:hAnsi="仿宋" w:eastAsia="仿宋"/>
          <w:b/>
          <w:kern w:val="0"/>
          <w:sz w:val="28"/>
        </w:rPr>
      </w:pPr>
    </w:p>
    <w:p w14:paraId="7336F938">
      <w:pPr>
        <w:widowControl/>
        <w:spacing w:before="312" w:beforeLines="100" w:after="312" w:afterLines="100" w:line="360" w:lineRule="auto"/>
        <w:rPr>
          <w:rFonts w:ascii="仿宋" w:hAnsi="仿宋" w:eastAsia="仿宋"/>
          <w:b/>
          <w:kern w:val="0"/>
          <w:sz w:val="28"/>
        </w:rPr>
      </w:pPr>
    </w:p>
    <w:p w14:paraId="04F3BC37">
      <w:pPr>
        <w:widowControl/>
        <w:spacing w:before="312" w:beforeLines="100" w:after="312" w:afterLines="100" w:line="360" w:lineRule="auto"/>
        <w:rPr>
          <w:rFonts w:ascii="仿宋" w:hAnsi="仿宋" w:eastAsia="仿宋"/>
          <w:b/>
          <w:kern w:val="0"/>
          <w:sz w:val="28"/>
        </w:rPr>
      </w:pPr>
    </w:p>
    <w:p w14:paraId="6BB15DC5">
      <w:pPr>
        <w:widowControl/>
        <w:spacing w:before="312" w:beforeLines="100" w:after="312" w:afterLines="100" w:line="360" w:lineRule="auto"/>
        <w:rPr>
          <w:rFonts w:ascii="仿宋" w:hAnsi="仿宋" w:eastAsia="仿宋"/>
          <w:b/>
          <w:kern w:val="0"/>
          <w:sz w:val="28"/>
        </w:rPr>
      </w:pPr>
    </w:p>
    <w:p w14:paraId="5A9655B0">
      <w:pPr>
        <w:widowControl/>
        <w:spacing w:before="312" w:beforeLines="100" w:after="312" w:afterLines="100" w:line="360" w:lineRule="auto"/>
        <w:rPr>
          <w:rFonts w:ascii="仿宋" w:hAnsi="仿宋" w:eastAsia="仿宋"/>
          <w:b/>
          <w:kern w:val="0"/>
          <w:sz w:val="28"/>
        </w:rPr>
      </w:pPr>
    </w:p>
    <w:p w14:paraId="346415BC">
      <w:pPr>
        <w:widowControl/>
        <w:spacing w:before="312" w:beforeLines="100" w:after="312" w:afterLines="100" w:line="360" w:lineRule="auto"/>
        <w:rPr>
          <w:rFonts w:ascii="仿宋" w:hAnsi="仿宋" w:eastAsia="仿宋"/>
          <w:b/>
          <w:kern w:val="0"/>
          <w:sz w:val="28"/>
        </w:rPr>
      </w:pPr>
    </w:p>
    <w:p w14:paraId="5B0FFD51">
      <w:pPr>
        <w:widowControl/>
        <w:spacing w:before="312" w:beforeLines="100" w:after="312" w:afterLines="100" w:line="360" w:lineRule="auto"/>
        <w:rPr>
          <w:rFonts w:ascii="仿宋" w:hAnsi="仿宋" w:eastAsia="仿宋"/>
          <w:b/>
          <w:kern w:val="0"/>
          <w:sz w:val="28"/>
        </w:rPr>
      </w:pPr>
    </w:p>
    <w:p w14:paraId="5FC2DE46">
      <w:pPr>
        <w:widowControl/>
        <w:spacing w:before="312" w:beforeLines="100" w:after="312" w:afterLines="100" w:line="360" w:lineRule="auto"/>
        <w:rPr>
          <w:rFonts w:ascii="仿宋" w:hAnsi="仿宋" w:eastAsia="仿宋"/>
          <w:b/>
          <w:kern w:val="0"/>
          <w:sz w:val="28"/>
        </w:rPr>
      </w:pPr>
    </w:p>
    <w:p w14:paraId="33AB0DB4">
      <w:pPr>
        <w:widowControl/>
        <w:spacing w:before="312" w:beforeLines="100" w:after="312" w:afterLines="100" w:line="360" w:lineRule="auto"/>
        <w:rPr>
          <w:rFonts w:ascii="仿宋" w:hAnsi="仿宋" w:eastAsia="仿宋"/>
          <w:b/>
          <w:kern w:val="0"/>
          <w:sz w:val="28"/>
        </w:rPr>
      </w:pPr>
    </w:p>
    <w:p w14:paraId="51E2D57F">
      <w:pPr>
        <w:widowControl/>
        <w:spacing w:before="312" w:beforeLines="100" w:after="312" w:afterLines="100" w:line="360" w:lineRule="auto"/>
        <w:rPr>
          <w:rFonts w:ascii="仿宋" w:hAnsi="仿宋" w:eastAsia="仿宋"/>
          <w:b/>
          <w:kern w:val="0"/>
          <w:sz w:val="28"/>
        </w:rPr>
      </w:pPr>
    </w:p>
    <w:p w14:paraId="71B0B339">
      <w:pPr>
        <w:widowControl/>
        <w:spacing w:before="312" w:beforeLines="100" w:after="312" w:afterLines="100" w:line="360" w:lineRule="auto"/>
        <w:rPr>
          <w:rFonts w:ascii="仿宋" w:hAnsi="仿宋" w:eastAsia="仿宋"/>
          <w:b/>
          <w:kern w:val="0"/>
          <w:sz w:val="28"/>
        </w:rPr>
      </w:pPr>
    </w:p>
    <w:p w14:paraId="0A0B43BC">
      <w:pPr>
        <w:rPr>
          <w:rFonts w:ascii="仿宋" w:hAnsi="仿宋" w:eastAsia="仿宋"/>
          <w:b/>
          <w:bCs/>
          <w:sz w:val="32"/>
          <w:szCs w:val="32"/>
        </w:rPr>
      </w:pPr>
    </w:p>
    <w:p w14:paraId="0682F88B">
      <w:pPr>
        <w:rPr>
          <w:rFonts w:ascii="仿宋" w:hAnsi="仿宋" w:eastAsia="仿宋"/>
          <w:b/>
          <w:bCs/>
          <w:sz w:val="32"/>
          <w:szCs w:val="32"/>
        </w:rPr>
      </w:pPr>
    </w:p>
    <w:p w14:paraId="00CA39F1">
      <w:pPr>
        <w:pStyle w:val="18"/>
        <w:adjustRightInd w:val="0"/>
        <w:snapToGrid w:val="0"/>
        <w:spacing w:line="360" w:lineRule="auto"/>
        <w:rPr>
          <w:rFonts w:ascii="黑体" w:hAnsi="黑体" w:eastAsia="黑体"/>
          <w:b/>
          <w:color w:val="auto"/>
        </w:rPr>
      </w:pPr>
      <w:r>
        <w:rPr>
          <w:rFonts w:ascii="仿宋" w:hAnsi="仿宋" w:eastAsia="仿宋"/>
          <w:color w:val="auto"/>
          <w:sz w:val="28"/>
          <w:szCs w:val="28"/>
        </w:rPr>
        <w:t xml:space="preserve">  </w:t>
      </w:r>
      <w:bookmarkStart w:id="5" w:name="_Toc147758822"/>
      <w:bookmarkStart w:id="6" w:name="_Toc21389"/>
      <w:r>
        <w:rPr>
          <w:rFonts w:hint="eastAsia" w:ascii="黑体" w:hAnsi="黑体" w:eastAsia="黑体"/>
          <w:b/>
          <w:color w:val="auto"/>
        </w:rPr>
        <w:t>附件：供应商失信行为处置标准</w:t>
      </w:r>
      <w:bookmarkEnd w:id="5"/>
      <w:bookmarkEnd w:id="6"/>
    </w:p>
    <w:p w14:paraId="62A8F1FA">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对考核评价得分8</w:t>
      </w:r>
      <w:r>
        <w:rPr>
          <w:rFonts w:ascii="仿宋" w:hAnsi="仿宋" w:eastAsia="仿宋"/>
          <w:sz w:val="28"/>
          <w:szCs w:val="30"/>
        </w:rPr>
        <w:t>5</w:t>
      </w:r>
      <w:r>
        <w:rPr>
          <w:rFonts w:hint="eastAsia" w:ascii="仿宋" w:hAnsi="仿宋" w:eastAsia="仿宋"/>
          <w:sz w:val="28"/>
          <w:szCs w:val="30"/>
        </w:rPr>
        <w:t>分以下，以及存在失信行为的供应商的处置，可参照以下标准。</w:t>
      </w:r>
    </w:p>
    <w:p w14:paraId="1DBC019D">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供应商处置分为“警告”、“暂停合作”、“停止合作”三种形式。被“警告”处置的列入“重点关注名单”，被“暂停合作”处置的列入“黑名单”，被“停止合作”处置的列入“永久黑名单”。</w:t>
      </w:r>
    </w:p>
    <w:p w14:paraId="258FDA29">
      <w:pPr>
        <w:adjustRightInd w:val="0"/>
        <w:snapToGrid w:val="0"/>
        <w:spacing w:line="600" w:lineRule="exact"/>
        <w:ind w:firstLine="562" w:firstLineChars="200"/>
        <w:rPr>
          <w:rFonts w:ascii="仿宋" w:hAnsi="仿宋" w:eastAsia="仿宋"/>
          <w:sz w:val="28"/>
          <w:szCs w:val="30"/>
        </w:rPr>
      </w:pPr>
      <w:r>
        <w:rPr>
          <w:rFonts w:hint="eastAsia" w:ascii="仿宋" w:hAnsi="仿宋" w:eastAsia="仿宋"/>
          <w:b/>
          <w:bCs/>
          <w:sz w:val="28"/>
          <w:szCs w:val="30"/>
        </w:rPr>
        <w:t>一、</w:t>
      </w:r>
      <w:r>
        <w:rPr>
          <w:rFonts w:hint="eastAsia" w:ascii="仿宋" w:hAnsi="仿宋" w:eastAsia="仿宋"/>
          <w:sz w:val="28"/>
          <w:szCs w:val="30"/>
        </w:rPr>
        <w:t>“警告”处置是指对日常考核评价基本合格但分数较低，或违反采购和合同相关规定，情节轻微、未给企业造成实质损失的供应商，由区域公司负责提出警告并通知供应商及时完成整改。整改期限原则上不超过3个月。</w:t>
      </w:r>
    </w:p>
    <w:p w14:paraId="79E6D7B5">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被“警告”处置的供应商，已完成整改要求，经区域公司采购委员会审批通过的，解除“警告”处置。</w:t>
      </w:r>
    </w:p>
    <w:p w14:paraId="3115EF78">
      <w:pPr>
        <w:adjustRightInd w:val="0"/>
        <w:snapToGrid w:val="0"/>
        <w:spacing w:line="600" w:lineRule="exact"/>
        <w:ind w:firstLine="562" w:firstLineChars="200"/>
        <w:rPr>
          <w:rFonts w:hint="eastAsia" w:ascii="仿宋" w:hAnsi="仿宋" w:eastAsia="仿宋"/>
          <w:sz w:val="28"/>
          <w:szCs w:val="30"/>
        </w:rPr>
      </w:pPr>
      <w:r>
        <w:rPr>
          <w:rFonts w:hint="eastAsia" w:ascii="仿宋" w:hAnsi="仿宋" w:eastAsia="仿宋"/>
          <w:b/>
          <w:bCs/>
          <w:sz w:val="28"/>
          <w:szCs w:val="30"/>
        </w:rPr>
        <w:t>二、</w:t>
      </w:r>
      <w:r>
        <w:rPr>
          <w:rFonts w:hint="eastAsia" w:ascii="仿宋" w:hAnsi="仿宋" w:eastAsia="仿宋"/>
          <w:sz w:val="28"/>
          <w:szCs w:val="30"/>
        </w:rPr>
        <w:t>“暂停合作”处置是指暂停供应商在本公司的合格投标人/报价人/合同供应商资格。依据供应商失信行为性质的严重程度，“暂停合作”期限设为1年、2年、3-5年。</w:t>
      </w:r>
    </w:p>
    <w:p w14:paraId="2AFA61CE">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（一）对有下列情形之一的供应商，给予“暂停合作”1年处置：</w:t>
      </w:r>
    </w:p>
    <w:p w14:paraId="6A3BC7FF">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1.不能按招标文件、投标文件或合同约定完成相关事项，给公司造成损失，影响生产建设的；</w:t>
      </w:r>
    </w:p>
    <w:p w14:paraId="3FAF7940">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2.不按合同约定配合监造/监理人员工作，未按要求解决的；</w:t>
      </w:r>
    </w:p>
    <w:p w14:paraId="7154223B">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3.未经业主同意擅自将中标项目分包的；</w:t>
      </w:r>
    </w:p>
    <w:p w14:paraId="3C079695">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4.未经业主同意擅自更换合同约定或采购文件承诺的原材料、零部件，影响生产建设的；</w:t>
      </w:r>
    </w:p>
    <w:p w14:paraId="3445FE65">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5.开标之后由于供应商原因放弃投标/报价,或者无正当理由放弃中标/成交或拒签合同的；</w:t>
      </w:r>
    </w:p>
    <w:p w14:paraId="66719B9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6.考评得分＜6</w:t>
      </w:r>
      <w:r>
        <w:rPr>
          <w:rFonts w:ascii="仿宋" w:hAnsi="仿宋" w:eastAsia="仿宋"/>
          <w:sz w:val="28"/>
          <w:szCs w:val="30"/>
        </w:rPr>
        <w:t>0</w:t>
      </w:r>
      <w:r>
        <w:rPr>
          <w:rFonts w:hint="eastAsia" w:ascii="仿宋" w:hAnsi="仿宋" w:eastAsia="仿宋"/>
          <w:sz w:val="28"/>
          <w:szCs w:val="30"/>
        </w:rPr>
        <w:t>分的。</w:t>
      </w:r>
    </w:p>
    <w:p w14:paraId="25B935B4">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（二）对有下列情形之一的供应商，给予“暂停合作”2年处置：</w:t>
      </w:r>
    </w:p>
    <w:p w14:paraId="058FA70A">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1.在采购活动期间以非正常渠道接触采购人、采购代理机构、评标及评审专家等人员，获取相关信息，干扰正常采购的；</w:t>
      </w:r>
    </w:p>
    <w:p w14:paraId="2561F8C0">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2.未按约定提交履约保证金或索取额外费用等失信行为，影响生产建设的；</w:t>
      </w:r>
    </w:p>
    <w:p w14:paraId="1EB915A0">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3.违反投标承诺或合同约定提高价格、降低质量、拖延工期，影响生产建设的；</w:t>
      </w:r>
    </w:p>
    <w:p w14:paraId="1327705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4.在质保期内其产品或服务出现质量问题，未按合同约定及时进行处理，影响安全稳定运行的；</w:t>
      </w:r>
    </w:p>
    <w:p w14:paraId="5A5259AA">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5.降低产品标准、偷工减料，或在生产制造过程中使用伪劣原材料、零部件以次充好，影响现场使用的；</w:t>
      </w:r>
    </w:p>
    <w:p w14:paraId="01FF9E73">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6.在参与采购活动过程中，存在商业贿赂、恶意诽谤、诬告或陷害其他竞争对手的；</w:t>
      </w:r>
    </w:p>
    <w:p w14:paraId="7F666B9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7.警告处置整改期限内拒不整改的。</w:t>
      </w:r>
    </w:p>
    <w:p w14:paraId="47554C9F">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（三）对有下列情形之一的供应商，给予“暂停合作”3-5年处置：</w:t>
      </w:r>
    </w:p>
    <w:p w14:paraId="4424F13C">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1.参与采购活动过程中提供虚假的营业执照、资质证书，非法以他人名义投标或借用他人资质投标的；</w:t>
      </w:r>
    </w:p>
    <w:p w14:paraId="6B1A2595">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2.在采购活动过程中串通投标、围标，破坏公平竞争的；</w:t>
      </w:r>
    </w:p>
    <w:p w14:paraId="0445B1B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3.提供假冒伪劣产品，伪造施工、货物或服务等检验、试验合格证明的；</w:t>
      </w:r>
    </w:p>
    <w:p w14:paraId="2CDEB4EF">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4.在合同签订后，由于供应商自身原因拒绝履行合同义务,单方面擅自终止合同，或将中标项目违法分包/转包；</w:t>
      </w:r>
    </w:p>
    <w:p w14:paraId="6A7E45F3">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5.年度考核评价结果累计2次为不合格；</w:t>
      </w:r>
    </w:p>
    <w:p w14:paraId="0826C659">
      <w:pPr>
        <w:adjustRightInd w:val="0"/>
        <w:snapToGrid w:val="0"/>
        <w:spacing w:line="600" w:lineRule="exact"/>
        <w:ind w:firstLine="560" w:firstLineChars="200"/>
        <w:rPr>
          <w:rFonts w:ascii="仿宋" w:hAnsi="仿宋" w:eastAsia="仿宋" w:cs="仿宋"/>
          <w:sz w:val="28"/>
          <w:szCs w:val="30"/>
        </w:rPr>
      </w:pPr>
      <w:r>
        <w:rPr>
          <w:rFonts w:ascii="仿宋" w:hAnsi="仿宋" w:eastAsia="仿宋"/>
          <w:sz w:val="28"/>
          <w:szCs w:val="30"/>
        </w:rPr>
        <w:t>6.</w:t>
      </w:r>
      <w:r>
        <w:rPr>
          <w:rFonts w:hint="eastAsia" w:ascii="仿宋" w:hAnsi="仿宋" w:eastAsia="仿宋" w:cs="仿宋"/>
          <w:sz w:val="28"/>
          <w:szCs w:val="30"/>
        </w:rPr>
        <w:t>符合《华润燃气控股有限公司相关方安全管理制度》黑名单管理情形的；</w:t>
      </w:r>
    </w:p>
    <w:p w14:paraId="583460AC">
      <w:pPr>
        <w:adjustRightInd w:val="0"/>
        <w:snapToGrid w:val="0"/>
        <w:spacing w:line="600" w:lineRule="exact"/>
        <w:ind w:firstLine="560" w:firstLineChars="200"/>
        <w:rPr>
          <w:rFonts w:ascii="仿宋" w:hAnsi="仿宋" w:eastAsia="仿宋"/>
          <w:sz w:val="28"/>
          <w:szCs w:val="30"/>
        </w:rPr>
      </w:pPr>
      <w:r>
        <w:rPr>
          <w:rFonts w:ascii="仿宋" w:hAnsi="仿宋" w:eastAsia="仿宋"/>
          <w:sz w:val="28"/>
          <w:szCs w:val="30"/>
        </w:rPr>
        <w:t>7</w:t>
      </w:r>
      <w:r>
        <w:rPr>
          <w:rFonts w:hint="eastAsia" w:ascii="仿宋" w:hAnsi="仿宋" w:eastAsia="仿宋"/>
          <w:sz w:val="28"/>
          <w:szCs w:val="30"/>
        </w:rPr>
        <w:t>.华润燃气认定的其他违规行为或条件的。</w:t>
      </w:r>
    </w:p>
    <w:p w14:paraId="7C3F7399">
      <w:pPr>
        <w:adjustRightInd w:val="0"/>
        <w:snapToGrid w:val="0"/>
        <w:spacing w:line="600" w:lineRule="exact"/>
        <w:ind w:firstLine="562" w:firstLineChars="200"/>
        <w:rPr>
          <w:rFonts w:hint="eastAsia" w:ascii="仿宋" w:hAnsi="仿宋" w:eastAsia="仿宋"/>
          <w:sz w:val="28"/>
          <w:szCs w:val="30"/>
        </w:rPr>
      </w:pPr>
      <w:r>
        <w:rPr>
          <w:rFonts w:hint="eastAsia" w:ascii="仿宋" w:hAnsi="仿宋" w:eastAsia="仿宋"/>
          <w:b/>
          <w:bCs/>
          <w:sz w:val="28"/>
          <w:szCs w:val="30"/>
          <w:lang w:val="en-US" w:eastAsia="zh-CN"/>
        </w:rPr>
        <w:t>三、</w:t>
      </w:r>
      <w:r>
        <w:rPr>
          <w:rFonts w:hint="eastAsia" w:ascii="仿宋" w:hAnsi="仿宋" w:eastAsia="仿宋"/>
          <w:sz w:val="28"/>
          <w:szCs w:val="30"/>
        </w:rPr>
        <w:t>“停止合作”处置是指停止供应商在本公司的合格投标人/报价人/合同供应商资格。对有下列情形之一的供应商，给予“停止合作”处置：</w:t>
      </w:r>
    </w:p>
    <w:p w14:paraId="2324A131">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（一）供应商在合同履约过程中，因生产环境严重劣化、破产等原因不再具备履约能力的；</w:t>
      </w:r>
    </w:p>
    <w:p w14:paraId="5597A67B">
      <w:pPr>
        <w:adjustRightInd w:val="0"/>
        <w:snapToGrid w:val="0"/>
        <w:spacing w:line="600" w:lineRule="exact"/>
        <w:ind w:firstLine="560" w:firstLineChars="200"/>
        <w:rPr>
          <w:rFonts w:ascii="仿宋" w:hAnsi="仿宋" w:eastAsia="仿宋" w:cs="仿宋"/>
          <w:sz w:val="28"/>
          <w:szCs w:val="30"/>
        </w:rPr>
      </w:pPr>
      <w:r>
        <w:rPr>
          <w:rFonts w:hint="eastAsia" w:ascii="仿宋" w:hAnsi="仿宋" w:eastAsia="仿宋"/>
          <w:sz w:val="28"/>
          <w:szCs w:val="30"/>
        </w:rPr>
        <w:t>（二）法院判决书认定供应商为谋取不正当利益，向招标采购活动的招标人</w:t>
      </w:r>
      <w:r>
        <w:rPr>
          <w:rFonts w:hint="eastAsia" w:ascii="仿宋" w:hAnsi="仿宋" w:eastAsia="仿宋" w:cs="仿宋"/>
          <w:sz w:val="28"/>
          <w:szCs w:val="30"/>
        </w:rPr>
        <w:t>、评标委员会、招标代理机构等相关人员行贿的；</w:t>
      </w:r>
    </w:p>
    <w:p w14:paraId="0CF971CD">
      <w:pPr>
        <w:adjustRightInd w:val="0"/>
        <w:snapToGrid w:val="0"/>
        <w:spacing w:line="600" w:lineRule="exact"/>
        <w:ind w:firstLine="560" w:firstLineChars="200"/>
        <w:rPr>
          <w:rFonts w:ascii="仿宋" w:hAnsi="仿宋" w:eastAsia="仿宋"/>
          <w:sz w:val="28"/>
          <w:szCs w:val="30"/>
        </w:rPr>
      </w:pPr>
      <w:r>
        <w:rPr>
          <w:rFonts w:hint="eastAsia" w:ascii="仿宋" w:hAnsi="仿宋" w:eastAsia="仿宋" w:cs="仿宋"/>
          <w:sz w:val="28"/>
          <w:szCs w:val="30"/>
        </w:rPr>
        <w:t>（三）符合《华润燃气控股有限公司相关方安全管理制度》认定永久列入华润燃气黑名单情形的。</w:t>
      </w:r>
    </w:p>
    <w:p w14:paraId="4E8FB6BE">
      <w:pPr>
        <w:adjustRightInd w:val="0"/>
        <w:snapToGrid w:val="0"/>
        <w:spacing w:line="600" w:lineRule="exact"/>
        <w:ind w:firstLine="562" w:firstLineChars="200"/>
        <w:rPr>
          <w:rFonts w:hint="eastAsia" w:ascii="仿宋" w:hAnsi="仿宋" w:eastAsia="仿宋"/>
          <w:sz w:val="28"/>
          <w:szCs w:val="30"/>
        </w:rPr>
      </w:pPr>
      <w:r>
        <w:rPr>
          <w:rFonts w:hint="eastAsia" w:ascii="仿宋" w:hAnsi="仿宋" w:eastAsia="仿宋"/>
          <w:b/>
          <w:bCs/>
          <w:sz w:val="28"/>
          <w:szCs w:val="30"/>
        </w:rPr>
        <w:t>四、</w:t>
      </w:r>
      <w:r>
        <w:rPr>
          <w:rFonts w:hint="eastAsia" w:ascii="仿宋" w:hAnsi="仿宋" w:eastAsia="仿宋"/>
          <w:sz w:val="28"/>
          <w:szCs w:val="30"/>
        </w:rPr>
        <w:t>凡被国家相关部门认定为有严重失信行为的供应商，按列入“黑名单”处置，暂停其参与采购活动资格，直至供应商信用记录恢复正常为止。</w:t>
      </w:r>
    </w:p>
    <w:p w14:paraId="1988A8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332BF"/>
    <w:multiLevelType w:val="multilevel"/>
    <w:tmpl w:val="088332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8CAB1"/>
    <w:multiLevelType w:val="singleLevel"/>
    <w:tmpl w:val="1168CAB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wMGMwZDlhYmM4YjU0N2ZlNDEyNjJhNjQ5ZTJlODMifQ=="/>
  </w:docVars>
  <w:rsids>
    <w:rsidRoot w:val="00492489"/>
    <w:rsid w:val="00060622"/>
    <w:rsid w:val="00067A88"/>
    <w:rsid w:val="000B007A"/>
    <w:rsid w:val="00121745"/>
    <w:rsid w:val="00163909"/>
    <w:rsid w:val="0019680D"/>
    <w:rsid w:val="001E0B6A"/>
    <w:rsid w:val="002130E1"/>
    <w:rsid w:val="002224E9"/>
    <w:rsid w:val="00233284"/>
    <w:rsid w:val="0028550D"/>
    <w:rsid w:val="002B592E"/>
    <w:rsid w:val="002C4594"/>
    <w:rsid w:val="002E10E7"/>
    <w:rsid w:val="002E2075"/>
    <w:rsid w:val="00320820"/>
    <w:rsid w:val="00344412"/>
    <w:rsid w:val="00345CBE"/>
    <w:rsid w:val="0034792B"/>
    <w:rsid w:val="00350572"/>
    <w:rsid w:val="003722A9"/>
    <w:rsid w:val="003A3A85"/>
    <w:rsid w:val="003F27E8"/>
    <w:rsid w:val="00404A12"/>
    <w:rsid w:val="00482B80"/>
    <w:rsid w:val="00492489"/>
    <w:rsid w:val="004A0734"/>
    <w:rsid w:val="004A63C2"/>
    <w:rsid w:val="004E1248"/>
    <w:rsid w:val="00506F02"/>
    <w:rsid w:val="005232AE"/>
    <w:rsid w:val="005271C6"/>
    <w:rsid w:val="005A04B4"/>
    <w:rsid w:val="005D22AB"/>
    <w:rsid w:val="005D4233"/>
    <w:rsid w:val="006131E1"/>
    <w:rsid w:val="00614A45"/>
    <w:rsid w:val="006344DA"/>
    <w:rsid w:val="006B3B8F"/>
    <w:rsid w:val="006C50B9"/>
    <w:rsid w:val="00732241"/>
    <w:rsid w:val="007C38E8"/>
    <w:rsid w:val="007D32B4"/>
    <w:rsid w:val="007E0894"/>
    <w:rsid w:val="008674DD"/>
    <w:rsid w:val="00884676"/>
    <w:rsid w:val="008B4EC1"/>
    <w:rsid w:val="008C7705"/>
    <w:rsid w:val="009072F9"/>
    <w:rsid w:val="00915327"/>
    <w:rsid w:val="00931ADE"/>
    <w:rsid w:val="00967DD0"/>
    <w:rsid w:val="009F0016"/>
    <w:rsid w:val="00A0740C"/>
    <w:rsid w:val="00A23D5B"/>
    <w:rsid w:val="00A5025E"/>
    <w:rsid w:val="00A524A8"/>
    <w:rsid w:val="00A936A6"/>
    <w:rsid w:val="00B51D0C"/>
    <w:rsid w:val="00B57CFC"/>
    <w:rsid w:val="00B90508"/>
    <w:rsid w:val="00BA44E5"/>
    <w:rsid w:val="00BB2F4E"/>
    <w:rsid w:val="00BD7A15"/>
    <w:rsid w:val="00C40E33"/>
    <w:rsid w:val="00C42299"/>
    <w:rsid w:val="00C72873"/>
    <w:rsid w:val="00C91C58"/>
    <w:rsid w:val="00D411A3"/>
    <w:rsid w:val="00DA7624"/>
    <w:rsid w:val="00DD29BC"/>
    <w:rsid w:val="00DD7CBF"/>
    <w:rsid w:val="00DE5E74"/>
    <w:rsid w:val="00E25284"/>
    <w:rsid w:val="00EA33CD"/>
    <w:rsid w:val="00EB2406"/>
    <w:rsid w:val="00F002A7"/>
    <w:rsid w:val="00F0489C"/>
    <w:rsid w:val="00F81BA3"/>
    <w:rsid w:val="00FE0ED9"/>
    <w:rsid w:val="0159301C"/>
    <w:rsid w:val="01D03252"/>
    <w:rsid w:val="050C068C"/>
    <w:rsid w:val="079052BE"/>
    <w:rsid w:val="090715AF"/>
    <w:rsid w:val="0B5D3C73"/>
    <w:rsid w:val="0C4576B8"/>
    <w:rsid w:val="0D957AD2"/>
    <w:rsid w:val="0DBE5254"/>
    <w:rsid w:val="0F160430"/>
    <w:rsid w:val="132D4308"/>
    <w:rsid w:val="1332191F"/>
    <w:rsid w:val="183D53C0"/>
    <w:rsid w:val="1DA376A1"/>
    <w:rsid w:val="1F417171"/>
    <w:rsid w:val="1F5D02C6"/>
    <w:rsid w:val="22627A1E"/>
    <w:rsid w:val="252E0B18"/>
    <w:rsid w:val="28C9377B"/>
    <w:rsid w:val="29E76B67"/>
    <w:rsid w:val="2AC46EA9"/>
    <w:rsid w:val="2D006DC6"/>
    <w:rsid w:val="2E2A00D2"/>
    <w:rsid w:val="2E8452CD"/>
    <w:rsid w:val="315F33BD"/>
    <w:rsid w:val="3774604B"/>
    <w:rsid w:val="3ABC7B9C"/>
    <w:rsid w:val="3BA02EDA"/>
    <w:rsid w:val="424C61D2"/>
    <w:rsid w:val="44004A3B"/>
    <w:rsid w:val="442835FA"/>
    <w:rsid w:val="4C9C5832"/>
    <w:rsid w:val="4D567ED4"/>
    <w:rsid w:val="4E1753BE"/>
    <w:rsid w:val="50253334"/>
    <w:rsid w:val="54B35714"/>
    <w:rsid w:val="571406EC"/>
    <w:rsid w:val="57EF4CB5"/>
    <w:rsid w:val="5847689F"/>
    <w:rsid w:val="5B835E40"/>
    <w:rsid w:val="5D9219BA"/>
    <w:rsid w:val="5E5F6154"/>
    <w:rsid w:val="609362C3"/>
    <w:rsid w:val="62F56966"/>
    <w:rsid w:val="65136E99"/>
    <w:rsid w:val="65497676"/>
    <w:rsid w:val="67BB4B6B"/>
    <w:rsid w:val="67D5211A"/>
    <w:rsid w:val="68E5638C"/>
    <w:rsid w:val="6ACC2C84"/>
    <w:rsid w:val="6E2C6ABC"/>
    <w:rsid w:val="6EE82829"/>
    <w:rsid w:val="71526589"/>
    <w:rsid w:val="72002E95"/>
    <w:rsid w:val="727870A2"/>
    <w:rsid w:val="7423420D"/>
    <w:rsid w:val="768457A2"/>
    <w:rsid w:val="7864076B"/>
    <w:rsid w:val="787608A9"/>
    <w:rsid w:val="78B63EAC"/>
    <w:rsid w:val="7BFA5853"/>
    <w:rsid w:val="7DC425BD"/>
    <w:rsid w:val="7FA0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semiHidden/>
    <w:unhideWhenUsed/>
    <w:qFormat/>
    <w:uiPriority w:val="99"/>
    <w:pPr>
      <w:jc w:val="left"/>
    </w:p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6"/>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paragraph" w:styleId="12">
    <w:name w:val="List Paragraph"/>
    <w:basedOn w:val="1"/>
    <w:autoRedefine/>
    <w:qFormat/>
    <w:uiPriority w:val="0"/>
    <w:pPr>
      <w:ind w:firstLine="420" w:firstLineChars="200"/>
    </w:pPr>
  </w:style>
  <w:style w:type="character" w:customStyle="1" w:styleId="13">
    <w:name w:val="批注文字 字符"/>
    <w:basedOn w:val="9"/>
    <w:link w:val="3"/>
    <w:autoRedefine/>
    <w:semiHidden/>
    <w:qFormat/>
    <w:uiPriority w:val="99"/>
  </w:style>
  <w:style w:type="character" w:customStyle="1" w:styleId="14">
    <w:name w:val="页眉 字符"/>
    <w:basedOn w:val="9"/>
    <w:link w:val="5"/>
    <w:autoRedefine/>
    <w:qFormat/>
    <w:uiPriority w:val="99"/>
    <w:rPr>
      <w:sz w:val="18"/>
      <w:szCs w:val="18"/>
    </w:rPr>
  </w:style>
  <w:style w:type="character" w:customStyle="1" w:styleId="15">
    <w:name w:val="页脚 字符"/>
    <w:basedOn w:val="9"/>
    <w:link w:val="4"/>
    <w:autoRedefine/>
    <w:qFormat/>
    <w:uiPriority w:val="99"/>
    <w:rPr>
      <w:sz w:val="18"/>
      <w:szCs w:val="18"/>
    </w:rPr>
  </w:style>
  <w:style w:type="character" w:customStyle="1" w:styleId="16">
    <w:name w:val="批注主题 字符"/>
    <w:basedOn w:val="13"/>
    <w:link w:val="6"/>
    <w:autoRedefine/>
    <w:semiHidden/>
    <w:qFormat/>
    <w:uiPriority w:val="99"/>
    <w:rPr>
      <w:b/>
      <w:bCs/>
    </w:rPr>
  </w:style>
  <w:style w:type="paragraph" w:customStyle="1" w:styleId="17">
    <w:name w:val="Normal_15_0"/>
    <w:basedOn w:val="1"/>
    <w:autoRedefine/>
    <w:qFormat/>
    <w:uiPriority w:val="0"/>
    <w:rPr>
      <w:rFonts w:ascii="宋体" w:hAnsi="宋体" w:eastAsia="宋体" w:cs="宋体"/>
      <w:kern w:val="0"/>
      <w:sz w:val="24"/>
      <w:szCs w:val="24"/>
    </w:rPr>
  </w:style>
  <w:style w:type="paragraph" w:customStyle="1" w:styleId="18">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9">
    <w:name w:val="Table Text"/>
    <w:basedOn w:val="1"/>
    <w:semiHidden/>
    <w:qFormat/>
    <w:uiPriority w:val="0"/>
    <w:rPr>
      <w:rFonts w:ascii="宋体" w:hAnsi="宋体" w:eastAsia="宋体" w:cs="宋体"/>
      <w:sz w:val="18"/>
      <w:szCs w:val="18"/>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Normal_7_0"/>
    <w:qFormat/>
    <w:uiPriority w:val="0"/>
    <w:pPr>
      <w:widowControl w:val="0"/>
      <w:jc w:val="both"/>
    </w:pPr>
    <w:rPr>
      <w:rFonts w:ascii="宋体" w:hAnsi="宋体" w:eastAsia="宋体" w:cs="宋体"/>
      <w:lang w:val="en-US" w:eastAsia="zh-CN" w:bidi="ar-SA"/>
    </w:rPr>
  </w:style>
  <w:style w:type="character" w:customStyle="1" w:styleId="22">
    <w:name w:val="正文 Char"/>
    <w:link w:val="23"/>
    <w:qFormat/>
    <w:uiPriority w:val="0"/>
    <w:rPr>
      <w:lang w:val="en-US" w:eastAsia="zh-CN" w:bidi="ar-SA"/>
    </w:rPr>
  </w:style>
  <w:style w:type="paragraph" w:customStyle="1" w:styleId="23">
    <w:name w:val="正文1"/>
    <w:link w:val="22"/>
    <w:qFormat/>
    <w:uiPriority w:val="0"/>
    <w:pPr>
      <w:spacing w:before="48" w:after="48"/>
      <w:ind w:firstLine="56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856</Words>
  <Characters>874</Characters>
  <Lines>68</Lines>
  <Paragraphs>19</Paragraphs>
  <TotalTime>46</TotalTime>
  <ScaleCrop>false</ScaleCrop>
  <LinksUpToDate>false</LinksUpToDate>
  <CharactersWithSpaces>882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2023-11-14T06:47:00Z</dcterms:created>
  <dc:creator>张桐126</dc:creator>
  <cp:lastModifiedBy>Sam</cp:lastModifiedBy>
  <dcterms:modified xsi:type="dcterms:W3CDTF">2024-11-15T06:04:00Z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92082F02651A4AAE93348CF2D41A82BF_13</vt:lpwstr>
  </property>
</Properties>
</file>